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888BE" w14:textId="7C064B8D" w:rsidR="00CA57EA" w:rsidRPr="00CE6956" w:rsidRDefault="00772CC8" w:rsidP="00040384">
      <w:pPr>
        <w:jc w:val="center"/>
        <w:rPr>
          <w:rFonts w:ascii="Arial" w:hAnsi="Arial" w:cs="Arial"/>
          <w:b/>
        </w:rPr>
      </w:pPr>
      <w:bookmarkStart w:id="0" w:name="_GoBack"/>
      <w:bookmarkEnd w:id="0"/>
      <w:r w:rsidRPr="00CE6956">
        <w:rPr>
          <w:rFonts w:ascii="Arial" w:hAnsi="Arial" w:cs="Arial"/>
          <w:b/>
        </w:rPr>
        <w:t xml:space="preserve">NORMA TÉCNICA EN SALUD </w:t>
      </w:r>
      <w:r w:rsidRPr="0045630E">
        <w:rPr>
          <w:rFonts w:ascii="Arial" w:hAnsi="Arial" w:cs="Arial"/>
          <w:b/>
        </w:rPr>
        <w:t xml:space="preserve">PARA </w:t>
      </w:r>
      <w:r w:rsidR="00E6057C" w:rsidRPr="0045630E">
        <w:rPr>
          <w:rFonts w:ascii="Arial" w:hAnsi="Arial" w:cs="Arial"/>
          <w:b/>
        </w:rPr>
        <w:t>LA ATENCIÓN INTEGRAL</w:t>
      </w:r>
      <w:r w:rsidR="00CC3382">
        <w:rPr>
          <w:rFonts w:ascii="Arial" w:hAnsi="Arial" w:cs="Arial"/>
          <w:b/>
        </w:rPr>
        <w:t xml:space="preserve"> E</w:t>
      </w:r>
      <w:r w:rsidR="00E6057C" w:rsidRPr="0045630E">
        <w:rPr>
          <w:rFonts w:ascii="Arial" w:hAnsi="Arial" w:cs="Arial"/>
          <w:b/>
        </w:rPr>
        <w:t xml:space="preserve"> INVESTIGACIÓN BIOMÉDICA </w:t>
      </w:r>
      <w:r w:rsidRPr="0045630E">
        <w:rPr>
          <w:rFonts w:ascii="Arial" w:hAnsi="Arial" w:cs="Arial"/>
          <w:b/>
        </w:rPr>
        <w:t>DE LAS PERSONAS DE TALLA BAJA</w:t>
      </w:r>
      <w:r w:rsidR="00E6057C" w:rsidRPr="0045630E">
        <w:rPr>
          <w:rFonts w:ascii="Arial" w:hAnsi="Arial" w:cs="Arial"/>
          <w:b/>
        </w:rPr>
        <w:t xml:space="preserve"> </w:t>
      </w:r>
      <w:r w:rsidR="00E6057C" w:rsidRPr="00E44EB6">
        <w:rPr>
          <w:rFonts w:ascii="Arial" w:hAnsi="Arial" w:cs="Arial"/>
          <w:b/>
          <w:highlight w:val="yellow"/>
        </w:rPr>
        <w:t>EXTREMA</w:t>
      </w:r>
      <w:r w:rsidR="00E44EB6" w:rsidRPr="00E44EB6">
        <w:rPr>
          <w:rFonts w:ascii="Arial" w:hAnsi="Arial" w:cs="Arial"/>
          <w:b/>
          <w:highlight w:val="yellow"/>
        </w:rPr>
        <w:t xml:space="preserve"> Y SINDRÓMICA</w:t>
      </w:r>
    </w:p>
    <w:p w14:paraId="2932E1AD" w14:textId="77777777" w:rsidR="00772CC8" w:rsidRPr="00CE6956" w:rsidRDefault="00772CC8">
      <w:pPr>
        <w:rPr>
          <w:rFonts w:ascii="Arial" w:hAnsi="Arial" w:cs="Arial"/>
          <w:b/>
        </w:rPr>
      </w:pPr>
    </w:p>
    <w:p w14:paraId="20087F0B" w14:textId="77777777" w:rsidR="009B17B3" w:rsidRPr="00DE3449" w:rsidRDefault="009B17B3" w:rsidP="009B17B3">
      <w:pPr>
        <w:spacing w:after="0" w:line="360" w:lineRule="auto"/>
        <w:jc w:val="both"/>
        <w:rPr>
          <w:rFonts w:ascii="Arial" w:hAnsi="Arial" w:cs="Arial"/>
          <w:b/>
        </w:rPr>
      </w:pPr>
      <w:r w:rsidRPr="00DE3449">
        <w:rPr>
          <w:rFonts w:ascii="Arial" w:hAnsi="Arial" w:cs="Arial"/>
          <w:b/>
        </w:rPr>
        <w:t xml:space="preserve">I. Finalidad y Justificación técnica </w:t>
      </w:r>
    </w:p>
    <w:p w14:paraId="00FE90A2" w14:textId="77777777" w:rsidR="009B17B3" w:rsidRPr="007850E1" w:rsidRDefault="001A18A2" w:rsidP="009B17B3">
      <w:pPr>
        <w:spacing w:after="0" w:line="360" w:lineRule="auto"/>
        <w:jc w:val="both"/>
        <w:rPr>
          <w:rFonts w:ascii="Arial" w:hAnsi="Arial" w:cs="Arial"/>
        </w:rPr>
      </w:pPr>
      <w:r>
        <w:rPr>
          <w:rFonts w:ascii="Arial" w:hAnsi="Arial" w:cs="Arial"/>
        </w:rPr>
        <w:t xml:space="preserve">El presente documento tiene por finalidad normar </w:t>
      </w:r>
      <w:r w:rsidR="00AE2712">
        <w:rPr>
          <w:rFonts w:ascii="Arial" w:hAnsi="Arial" w:cs="Arial"/>
        </w:rPr>
        <w:t xml:space="preserve">los procedimientos a realizar para </w:t>
      </w:r>
      <w:r w:rsidR="006470BB">
        <w:rPr>
          <w:rFonts w:ascii="Arial" w:hAnsi="Arial" w:cs="Arial"/>
        </w:rPr>
        <w:t xml:space="preserve">la </w:t>
      </w:r>
      <w:r w:rsidR="00595037">
        <w:rPr>
          <w:rFonts w:ascii="Arial" w:hAnsi="Arial" w:cs="Arial"/>
        </w:rPr>
        <w:t>atención integral</w:t>
      </w:r>
      <w:r w:rsidR="006470BB">
        <w:rPr>
          <w:rFonts w:ascii="Arial" w:hAnsi="Arial" w:cs="Arial"/>
        </w:rPr>
        <w:t xml:space="preserve">, así como </w:t>
      </w:r>
      <w:r w:rsidR="00C644A5">
        <w:rPr>
          <w:rFonts w:ascii="Arial" w:hAnsi="Arial" w:cs="Arial"/>
        </w:rPr>
        <w:t xml:space="preserve">la promoción de </w:t>
      </w:r>
      <w:r w:rsidR="006470BB">
        <w:rPr>
          <w:rFonts w:ascii="Arial" w:hAnsi="Arial" w:cs="Arial"/>
        </w:rPr>
        <w:t xml:space="preserve">la investigación biomédica </w:t>
      </w:r>
      <w:r w:rsidR="00AE2712">
        <w:rPr>
          <w:rFonts w:ascii="Arial" w:hAnsi="Arial" w:cs="Arial"/>
        </w:rPr>
        <w:t>de las personas de talla baja</w:t>
      </w:r>
      <w:r w:rsidR="006470BB">
        <w:rPr>
          <w:rFonts w:ascii="Arial" w:hAnsi="Arial" w:cs="Arial"/>
        </w:rPr>
        <w:t xml:space="preserve"> sindrómica o </w:t>
      </w:r>
      <w:r w:rsidR="00716A58">
        <w:rPr>
          <w:rFonts w:ascii="Arial" w:hAnsi="Arial" w:cs="Arial"/>
        </w:rPr>
        <w:t>extrema</w:t>
      </w:r>
      <w:r w:rsidR="008644AB">
        <w:rPr>
          <w:rFonts w:ascii="Arial" w:hAnsi="Arial" w:cs="Arial"/>
        </w:rPr>
        <w:t xml:space="preserve">, con enfoque de </w:t>
      </w:r>
      <w:r w:rsidR="008C7AC6">
        <w:rPr>
          <w:rFonts w:ascii="Arial" w:hAnsi="Arial" w:cs="Arial"/>
        </w:rPr>
        <w:t xml:space="preserve">respeto a los derechos humanos, interculturalidad </w:t>
      </w:r>
      <w:r w:rsidR="003B6C5D">
        <w:rPr>
          <w:rFonts w:ascii="Arial" w:hAnsi="Arial" w:cs="Arial"/>
        </w:rPr>
        <w:t xml:space="preserve">y género, </w:t>
      </w:r>
      <w:r w:rsidR="003B6C5D" w:rsidRPr="007850E1">
        <w:rPr>
          <w:rFonts w:ascii="Arial" w:hAnsi="Arial" w:cs="Arial"/>
        </w:rPr>
        <w:t>para mejorar su</w:t>
      </w:r>
      <w:r w:rsidR="00C644A5" w:rsidRPr="007850E1">
        <w:rPr>
          <w:rFonts w:ascii="Arial" w:hAnsi="Arial" w:cs="Arial"/>
        </w:rPr>
        <w:t xml:space="preserve"> condición de</w:t>
      </w:r>
      <w:r w:rsidR="003B6C5D" w:rsidRPr="007850E1">
        <w:rPr>
          <w:rFonts w:ascii="Arial" w:hAnsi="Arial" w:cs="Arial"/>
        </w:rPr>
        <w:t xml:space="preserve"> salud</w:t>
      </w:r>
      <w:r w:rsidR="00C644A5" w:rsidRPr="007850E1">
        <w:rPr>
          <w:rFonts w:ascii="Arial" w:hAnsi="Arial" w:cs="Arial"/>
        </w:rPr>
        <w:t xml:space="preserve"> y así contribuir a su inclusión.</w:t>
      </w:r>
    </w:p>
    <w:p w14:paraId="40FF3CD7" w14:textId="77777777" w:rsidR="003B6C5D" w:rsidRDefault="001F0965" w:rsidP="005A0464">
      <w:pPr>
        <w:spacing w:after="0" w:line="360" w:lineRule="auto"/>
        <w:jc w:val="both"/>
        <w:rPr>
          <w:rFonts w:ascii="Arial" w:hAnsi="Arial" w:cs="Arial"/>
        </w:rPr>
      </w:pPr>
      <w:r w:rsidRPr="00930B62">
        <w:rPr>
          <w:rFonts w:ascii="Arial" w:hAnsi="Arial" w:cs="Arial"/>
        </w:rPr>
        <w:t>La Dirección de Prevenci</w:t>
      </w:r>
      <w:r w:rsidR="005B0C81" w:rsidRPr="00930B62">
        <w:rPr>
          <w:rFonts w:ascii="Arial" w:hAnsi="Arial" w:cs="Arial"/>
        </w:rPr>
        <w:t>ón y Control de la Discapacidad, perteneciente a la Dirección General de Intervenciones Estratégicas en Salud Pública</w:t>
      </w:r>
      <w:r w:rsidR="005A0464" w:rsidRPr="00930B62">
        <w:rPr>
          <w:rFonts w:ascii="Arial" w:hAnsi="Arial" w:cs="Arial"/>
        </w:rPr>
        <w:t xml:space="preserve"> del Ministerio de Salud</w:t>
      </w:r>
      <w:r w:rsidR="00930B62" w:rsidRPr="00930B62">
        <w:rPr>
          <w:rFonts w:ascii="Arial" w:hAnsi="Arial" w:cs="Arial"/>
        </w:rPr>
        <w:t>, es</w:t>
      </w:r>
      <w:r w:rsidR="005B0C81" w:rsidRPr="00930B62">
        <w:rPr>
          <w:rFonts w:ascii="Arial" w:hAnsi="Arial" w:cs="Arial"/>
        </w:rPr>
        <w:t xml:space="preserve"> </w:t>
      </w:r>
      <w:r w:rsidR="00930B62" w:rsidRPr="00930B62">
        <w:rPr>
          <w:rFonts w:ascii="Arial" w:hAnsi="Arial" w:cs="Arial"/>
        </w:rPr>
        <w:t>responsable</w:t>
      </w:r>
      <w:r w:rsidR="005B0C81" w:rsidRPr="00930B62">
        <w:rPr>
          <w:rFonts w:ascii="Arial" w:hAnsi="Arial" w:cs="Arial"/>
        </w:rPr>
        <w:t xml:space="preserve"> de </w:t>
      </w:r>
      <w:r w:rsidR="005A0464" w:rsidRPr="00930B62">
        <w:rPr>
          <w:rFonts w:ascii="Arial" w:hAnsi="Arial" w:cs="Arial"/>
        </w:rPr>
        <w:t xml:space="preserve">estandarizar los procedimientos necesarios para </w:t>
      </w:r>
      <w:r w:rsidR="003F0984" w:rsidRPr="00930B62">
        <w:rPr>
          <w:rFonts w:ascii="Arial" w:hAnsi="Arial" w:cs="Arial"/>
        </w:rPr>
        <w:t xml:space="preserve">la atención integral e investigación biomédica de las </w:t>
      </w:r>
      <w:r w:rsidR="005A0464" w:rsidRPr="00930B62">
        <w:rPr>
          <w:rFonts w:ascii="Arial" w:hAnsi="Arial" w:cs="Arial"/>
        </w:rPr>
        <w:t>personas de talla baja</w:t>
      </w:r>
      <w:r w:rsidR="00930B62" w:rsidRPr="00930B62">
        <w:rPr>
          <w:rFonts w:ascii="Arial" w:hAnsi="Arial" w:cs="Arial"/>
        </w:rPr>
        <w:t xml:space="preserve"> extrema</w:t>
      </w:r>
      <w:r w:rsidR="005A0464">
        <w:rPr>
          <w:rFonts w:ascii="Arial" w:hAnsi="Arial" w:cs="Arial"/>
        </w:rPr>
        <w:t>, en los establecimientos de salud a nivel nacional.</w:t>
      </w:r>
    </w:p>
    <w:p w14:paraId="1ACDE178" w14:textId="77777777" w:rsidR="002E4167" w:rsidRPr="008F2A42" w:rsidRDefault="002E4167" w:rsidP="005A0464">
      <w:pPr>
        <w:spacing w:after="0" w:line="360" w:lineRule="auto"/>
        <w:jc w:val="both"/>
        <w:rPr>
          <w:rFonts w:ascii="Arial" w:hAnsi="Arial" w:cs="Arial"/>
          <w:color w:val="FF0000"/>
        </w:rPr>
      </w:pPr>
      <w:r w:rsidRPr="008F2A42">
        <w:rPr>
          <w:rFonts w:ascii="Arial" w:hAnsi="Arial" w:cs="Arial"/>
          <w:color w:val="FF0000"/>
        </w:rPr>
        <w:t>La presente no</w:t>
      </w:r>
      <w:r w:rsidR="008F2A42" w:rsidRPr="008F2A42">
        <w:rPr>
          <w:rFonts w:ascii="Arial" w:hAnsi="Arial" w:cs="Arial"/>
          <w:color w:val="FF0000"/>
        </w:rPr>
        <w:t>rma técnica tiene por objetivo</w:t>
      </w:r>
      <w:r w:rsidR="00C42E5C">
        <w:rPr>
          <w:rFonts w:ascii="Arial" w:hAnsi="Arial" w:cs="Arial"/>
          <w:color w:val="FF0000"/>
        </w:rPr>
        <w:t>s:</w:t>
      </w:r>
      <w:r w:rsidR="008F2A42" w:rsidRPr="008F2A42">
        <w:rPr>
          <w:rFonts w:ascii="Arial" w:hAnsi="Arial" w:cs="Arial"/>
          <w:color w:val="FF0000"/>
        </w:rPr>
        <w:t xml:space="preserve"> </w:t>
      </w:r>
    </w:p>
    <w:p w14:paraId="674F83F8" w14:textId="77777777" w:rsidR="00765404" w:rsidRPr="008F2A42" w:rsidRDefault="008F2A42" w:rsidP="00B24645">
      <w:pPr>
        <w:pStyle w:val="Prrafodelista"/>
        <w:numPr>
          <w:ilvl w:val="0"/>
          <w:numId w:val="1"/>
        </w:numPr>
        <w:spacing w:after="0" w:line="360" w:lineRule="auto"/>
        <w:jc w:val="both"/>
        <w:rPr>
          <w:rFonts w:ascii="Arial" w:hAnsi="Arial" w:cs="Arial"/>
          <w:color w:val="FF0000"/>
        </w:rPr>
      </w:pPr>
      <w:r w:rsidRPr="008F2A42">
        <w:rPr>
          <w:rFonts w:ascii="Arial" w:hAnsi="Arial" w:cs="Arial"/>
          <w:color w:val="FF0000"/>
        </w:rPr>
        <w:t>P</w:t>
      </w:r>
      <w:r w:rsidR="00765404" w:rsidRPr="008F2A42">
        <w:rPr>
          <w:rFonts w:ascii="Arial" w:hAnsi="Arial" w:cs="Arial"/>
          <w:color w:val="FF0000"/>
        </w:rPr>
        <w:t>romoción</w:t>
      </w:r>
      <w:r w:rsidRPr="008F2A42">
        <w:rPr>
          <w:rFonts w:ascii="Arial" w:hAnsi="Arial" w:cs="Arial"/>
          <w:color w:val="FF0000"/>
        </w:rPr>
        <w:t xml:space="preserve"> de la salud, enfocada a</w:t>
      </w:r>
      <w:r w:rsidR="00C42E5C">
        <w:rPr>
          <w:rFonts w:ascii="Arial" w:hAnsi="Arial" w:cs="Arial"/>
          <w:color w:val="FF0000"/>
        </w:rPr>
        <w:t xml:space="preserve"> </w:t>
      </w:r>
      <w:r w:rsidRPr="008F2A42">
        <w:rPr>
          <w:rFonts w:ascii="Arial" w:hAnsi="Arial" w:cs="Arial"/>
          <w:color w:val="FF0000"/>
        </w:rPr>
        <w:t xml:space="preserve"> </w:t>
      </w:r>
    </w:p>
    <w:p w14:paraId="7086B6F4" w14:textId="77777777" w:rsidR="002E4167" w:rsidRPr="008F2A42" w:rsidRDefault="00270993" w:rsidP="00B24645">
      <w:pPr>
        <w:pStyle w:val="Prrafodelista"/>
        <w:numPr>
          <w:ilvl w:val="0"/>
          <w:numId w:val="1"/>
        </w:numPr>
        <w:spacing w:after="0" w:line="360" w:lineRule="auto"/>
        <w:jc w:val="both"/>
        <w:rPr>
          <w:rFonts w:ascii="Arial" w:hAnsi="Arial" w:cs="Arial"/>
          <w:color w:val="FF0000"/>
        </w:rPr>
      </w:pPr>
      <w:r w:rsidRPr="008F2A42">
        <w:rPr>
          <w:rFonts w:ascii="Arial" w:hAnsi="Arial" w:cs="Arial"/>
          <w:color w:val="FF0000"/>
        </w:rPr>
        <w:t xml:space="preserve">Establecer los procedimientos para </w:t>
      </w:r>
      <w:r w:rsidR="007850E1" w:rsidRPr="008F2A42">
        <w:rPr>
          <w:rFonts w:ascii="Arial" w:hAnsi="Arial" w:cs="Arial"/>
          <w:color w:val="FF0000"/>
        </w:rPr>
        <w:t>el diagnóstico</w:t>
      </w:r>
      <w:r w:rsidRPr="008F2A42">
        <w:rPr>
          <w:rFonts w:ascii="Arial" w:hAnsi="Arial" w:cs="Arial"/>
          <w:color w:val="FF0000"/>
        </w:rPr>
        <w:t xml:space="preserve"> </w:t>
      </w:r>
      <w:r w:rsidR="00B24645" w:rsidRPr="008F2A42">
        <w:rPr>
          <w:rFonts w:ascii="Arial" w:hAnsi="Arial" w:cs="Arial"/>
          <w:color w:val="FF0000"/>
        </w:rPr>
        <w:t>oportun</w:t>
      </w:r>
      <w:r w:rsidR="007850E1" w:rsidRPr="008F2A42">
        <w:rPr>
          <w:rFonts w:ascii="Arial" w:hAnsi="Arial" w:cs="Arial"/>
          <w:color w:val="FF0000"/>
        </w:rPr>
        <w:t>o</w:t>
      </w:r>
      <w:r w:rsidR="00B24645" w:rsidRPr="008F2A42">
        <w:rPr>
          <w:rFonts w:ascii="Arial" w:hAnsi="Arial" w:cs="Arial"/>
          <w:color w:val="FF0000"/>
        </w:rPr>
        <w:t xml:space="preserve"> de pacientes con talla baja</w:t>
      </w:r>
      <w:r w:rsidR="007850E1" w:rsidRPr="008F2A42">
        <w:rPr>
          <w:rFonts w:ascii="Arial" w:hAnsi="Arial" w:cs="Arial"/>
          <w:color w:val="FF0000"/>
        </w:rPr>
        <w:t xml:space="preserve"> sindrómica o extrema</w:t>
      </w:r>
      <w:r w:rsidR="006E486E" w:rsidRPr="008F2A42">
        <w:rPr>
          <w:rFonts w:ascii="Arial" w:hAnsi="Arial" w:cs="Arial"/>
          <w:color w:val="FF0000"/>
        </w:rPr>
        <w:t>.</w:t>
      </w:r>
    </w:p>
    <w:p w14:paraId="7B25A420" w14:textId="77777777" w:rsidR="00B24645" w:rsidRPr="008F2A42" w:rsidRDefault="00B24645" w:rsidP="00B24645">
      <w:pPr>
        <w:pStyle w:val="Prrafodelista"/>
        <w:numPr>
          <w:ilvl w:val="0"/>
          <w:numId w:val="1"/>
        </w:numPr>
        <w:spacing w:after="0" w:line="360" w:lineRule="auto"/>
        <w:jc w:val="both"/>
        <w:rPr>
          <w:rFonts w:ascii="Arial" w:hAnsi="Arial" w:cs="Arial"/>
          <w:color w:val="FF0000"/>
        </w:rPr>
      </w:pPr>
      <w:r w:rsidRPr="008F2A42">
        <w:rPr>
          <w:rFonts w:ascii="Arial" w:hAnsi="Arial" w:cs="Arial"/>
          <w:color w:val="FF0000"/>
        </w:rPr>
        <w:t>Mejorar la</w:t>
      </w:r>
      <w:r w:rsidR="006E486E" w:rsidRPr="008F2A42">
        <w:rPr>
          <w:rFonts w:ascii="Arial" w:hAnsi="Arial" w:cs="Arial"/>
          <w:color w:val="FF0000"/>
        </w:rPr>
        <w:t xml:space="preserve"> efectividad de la</w:t>
      </w:r>
      <w:r w:rsidRPr="008F2A42">
        <w:rPr>
          <w:rFonts w:ascii="Arial" w:hAnsi="Arial" w:cs="Arial"/>
          <w:color w:val="FF0000"/>
        </w:rPr>
        <w:t>s intervenciones en las personas con talla baja</w:t>
      </w:r>
    </w:p>
    <w:p w14:paraId="6E1658A2" w14:textId="77777777" w:rsidR="0098611E" w:rsidRPr="008F2A42" w:rsidRDefault="0098611E" w:rsidP="00B24645">
      <w:pPr>
        <w:pStyle w:val="Prrafodelista"/>
        <w:numPr>
          <w:ilvl w:val="0"/>
          <w:numId w:val="1"/>
        </w:numPr>
        <w:spacing w:after="0" w:line="360" w:lineRule="auto"/>
        <w:jc w:val="both"/>
        <w:rPr>
          <w:rFonts w:ascii="Arial" w:hAnsi="Arial" w:cs="Arial"/>
          <w:color w:val="FF0000"/>
        </w:rPr>
      </w:pPr>
      <w:r w:rsidRPr="008F2A42">
        <w:rPr>
          <w:rFonts w:ascii="Arial" w:hAnsi="Arial" w:cs="Arial"/>
          <w:color w:val="FF0000"/>
        </w:rPr>
        <w:t>Evaluar el impacto de las intervenciones realizadas</w:t>
      </w:r>
      <w:r w:rsidR="00A52EB6" w:rsidRPr="008F2A42">
        <w:rPr>
          <w:rFonts w:ascii="Arial" w:hAnsi="Arial" w:cs="Arial"/>
          <w:color w:val="FF0000"/>
        </w:rPr>
        <w:t>.</w:t>
      </w:r>
    </w:p>
    <w:p w14:paraId="6A53262D" w14:textId="77777777" w:rsidR="00153984" w:rsidRPr="008F2A42" w:rsidRDefault="008864F3" w:rsidP="00B24645">
      <w:pPr>
        <w:pStyle w:val="Prrafodelista"/>
        <w:numPr>
          <w:ilvl w:val="0"/>
          <w:numId w:val="1"/>
        </w:numPr>
        <w:spacing w:after="0" w:line="360" w:lineRule="auto"/>
        <w:jc w:val="both"/>
        <w:rPr>
          <w:rFonts w:ascii="Arial" w:hAnsi="Arial" w:cs="Arial"/>
          <w:color w:val="FF0000"/>
        </w:rPr>
      </w:pPr>
      <w:r w:rsidRPr="008F2A42">
        <w:rPr>
          <w:rFonts w:ascii="Arial" w:hAnsi="Arial" w:cs="Arial"/>
          <w:color w:val="FF0000"/>
        </w:rPr>
        <w:t>Mejorar</w:t>
      </w:r>
      <w:r w:rsidR="00153984" w:rsidRPr="008F2A42">
        <w:rPr>
          <w:rFonts w:ascii="Arial" w:hAnsi="Arial" w:cs="Arial"/>
          <w:color w:val="FF0000"/>
        </w:rPr>
        <w:t xml:space="preserve"> el sistema de información</w:t>
      </w:r>
      <w:r w:rsidR="00A52EB6" w:rsidRPr="008F2A42">
        <w:rPr>
          <w:rFonts w:ascii="Arial" w:hAnsi="Arial" w:cs="Arial"/>
          <w:color w:val="FF0000"/>
        </w:rPr>
        <w:t xml:space="preserve"> a través del registro adecuado de casos.</w:t>
      </w:r>
    </w:p>
    <w:p w14:paraId="12EC78C6" w14:textId="77777777" w:rsidR="00E01122" w:rsidRDefault="00E01122" w:rsidP="009B17B3">
      <w:pPr>
        <w:spacing w:after="0" w:line="360" w:lineRule="auto"/>
        <w:jc w:val="both"/>
        <w:rPr>
          <w:rFonts w:ascii="Arial" w:hAnsi="Arial" w:cs="Arial"/>
        </w:rPr>
      </w:pPr>
    </w:p>
    <w:p w14:paraId="14E1F10A" w14:textId="77777777" w:rsidR="00E01122" w:rsidRDefault="00E01122" w:rsidP="009B17B3">
      <w:pPr>
        <w:spacing w:after="0" w:line="360" w:lineRule="auto"/>
        <w:jc w:val="both"/>
        <w:rPr>
          <w:rFonts w:ascii="Arial" w:hAnsi="Arial" w:cs="Arial"/>
        </w:rPr>
      </w:pPr>
    </w:p>
    <w:p w14:paraId="3AE8CD72" w14:textId="77777777" w:rsidR="00E01122" w:rsidRDefault="00E01122" w:rsidP="009B17B3">
      <w:pPr>
        <w:spacing w:after="0" w:line="360" w:lineRule="auto"/>
        <w:jc w:val="both"/>
        <w:rPr>
          <w:rFonts w:ascii="Arial" w:hAnsi="Arial" w:cs="Arial"/>
        </w:rPr>
      </w:pPr>
    </w:p>
    <w:p w14:paraId="101E6CD4" w14:textId="77777777" w:rsidR="00E01122" w:rsidRPr="00CE6956" w:rsidRDefault="00E01122" w:rsidP="009B17B3">
      <w:pPr>
        <w:spacing w:after="0" w:line="360" w:lineRule="auto"/>
        <w:jc w:val="both"/>
        <w:rPr>
          <w:rFonts w:ascii="Arial" w:hAnsi="Arial" w:cs="Arial"/>
        </w:rPr>
      </w:pPr>
    </w:p>
    <w:p w14:paraId="7A41AF65" w14:textId="77777777" w:rsidR="009B17B3" w:rsidRPr="00DE3449" w:rsidRDefault="009B17B3" w:rsidP="009B17B3">
      <w:pPr>
        <w:spacing w:after="0" w:line="360" w:lineRule="auto"/>
        <w:jc w:val="both"/>
        <w:rPr>
          <w:rFonts w:ascii="Arial" w:hAnsi="Arial" w:cs="Arial"/>
          <w:b/>
        </w:rPr>
      </w:pPr>
      <w:r w:rsidRPr="00DE3449">
        <w:rPr>
          <w:rFonts w:ascii="Arial" w:hAnsi="Arial" w:cs="Arial"/>
          <w:b/>
        </w:rPr>
        <w:t>II. Ámbito de aplicación</w:t>
      </w:r>
    </w:p>
    <w:p w14:paraId="44F2A03D" w14:textId="77777777" w:rsidR="009B17B3" w:rsidRDefault="008A7C95" w:rsidP="008A7C95">
      <w:pPr>
        <w:spacing w:after="0" w:line="360" w:lineRule="auto"/>
        <w:jc w:val="both"/>
        <w:rPr>
          <w:rFonts w:ascii="Arial" w:hAnsi="Arial" w:cs="Arial"/>
        </w:rPr>
      </w:pPr>
      <w:r w:rsidRPr="008A7C95">
        <w:rPr>
          <w:rFonts w:ascii="Arial" w:hAnsi="Arial" w:cs="Arial"/>
        </w:rPr>
        <w:t>La presente Norma Técnica de Salud es de aplicación obligatoria en todos los</w:t>
      </w:r>
      <w:r>
        <w:rPr>
          <w:rFonts w:ascii="Arial" w:hAnsi="Arial" w:cs="Arial"/>
        </w:rPr>
        <w:t xml:space="preserve"> </w:t>
      </w:r>
      <w:r w:rsidRPr="008A7C95">
        <w:rPr>
          <w:rFonts w:ascii="Arial" w:hAnsi="Arial" w:cs="Arial"/>
        </w:rPr>
        <w:t>establecimientos del Sector Salud a nivel nacional (del Ministerio de Salud, de</w:t>
      </w:r>
      <w:r>
        <w:rPr>
          <w:rFonts w:ascii="Arial" w:hAnsi="Arial" w:cs="Arial"/>
        </w:rPr>
        <w:t xml:space="preserve"> </w:t>
      </w:r>
      <w:r w:rsidRPr="008A7C95">
        <w:rPr>
          <w:rFonts w:ascii="Arial" w:hAnsi="Arial" w:cs="Arial"/>
        </w:rPr>
        <w:t>EsSalud, de la Sanidad de las Fuerzas Armadas, de la Policía Nacional del Perú, de los</w:t>
      </w:r>
      <w:r>
        <w:rPr>
          <w:rFonts w:ascii="Arial" w:hAnsi="Arial" w:cs="Arial"/>
        </w:rPr>
        <w:t xml:space="preserve"> </w:t>
      </w:r>
      <w:r w:rsidRPr="008A7C95">
        <w:rPr>
          <w:rFonts w:ascii="Arial" w:hAnsi="Arial" w:cs="Arial"/>
        </w:rPr>
        <w:t>Gobiernos Regionales, Gobiernos Locales, Clínicas y otros del Subsector Privado),</w:t>
      </w:r>
      <w:r>
        <w:rPr>
          <w:rFonts w:ascii="Arial" w:hAnsi="Arial" w:cs="Arial"/>
        </w:rPr>
        <w:t xml:space="preserve"> </w:t>
      </w:r>
      <w:r w:rsidRPr="008A7C95">
        <w:rPr>
          <w:rFonts w:ascii="Arial" w:hAnsi="Arial" w:cs="Arial"/>
        </w:rPr>
        <w:t>según corresponda.</w:t>
      </w:r>
    </w:p>
    <w:p w14:paraId="2AFA2964" w14:textId="77777777" w:rsidR="002E4167" w:rsidRDefault="002E4167" w:rsidP="009B17B3">
      <w:pPr>
        <w:spacing w:after="0" w:line="360" w:lineRule="auto"/>
        <w:jc w:val="both"/>
        <w:rPr>
          <w:rFonts w:ascii="Arial" w:hAnsi="Arial" w:cs="Arial"/>
        </w:rPr>
      </w:pPr>
    </w:p>
    <w:p w14:paraId="5A12A403" w14:textId="77777777" w:rsidR="00E01122" w:rsidRDefault="00E01122" w:rsidP="009B17B3">
      <w:pPr>
        <w:spacing w:after="0" w:line="360" w:lineRule="auto"/>
        <w:jc w:val="both"/>
        <w:rPr>
          <w:rFonts w:ascii="Arial" w:hAnsi="Arial" w:cs="Arial"/>
        </w:rPr>
      </w:pPr>
    </w:p>
    <w:p w14:paraId="182AFA42" w14:textId="77777777" w:rsidR="00E01122" w:rsidRDefault="00E01122" w:rsidP="009B17B3">
      <w:pPr>
        <w:spacing w:after="0" w:line="360" w:lineRule="auto"/>
        <w:jc w:val="both"/>
        <w:rPr>
          <w:rFonts w:ascii="Arial" w:hAnsi="Arial" w:cs="Arial"/>
        </w:rPr>
      </w:pPr>
    </w:p>
    <w:p w14:paraId="43CF706C" w14:textId="77777777" w:rsidR="00E01122" w:rsidRDefault="00E01122" w:rsidP="009B17B3">
      <w:pPr>
        <w:spacing w:after="0" w:line="360" w:lineRule="auto"/>
        <w:jc w:val="both"/>
        <w:rPr>
          <w:rFonts w:ascii="Arial" w:hAnsi="Arial" w:cs="Arial"/>
        </w:rPr>
      </w:pPr>
    </w:p>
    <w:p w14:paraId="0818ACCA" w14:textId="77777777" w:rsidR="00E01122" w:rsidRDefault="00E01122" w:rsidP="009B17B3">
      <w:pPr>
        <w:spacing w:after="0" w:line="360" w:lineRule="auto"/>
        <w:jc w:val="both"/>
        <w:rPr>
          <w:rFonts w:ascii="Arial" w:hAnsi="Arial" w:cs="Arial"/>
        </w:rPr>
      </w:pPr>
    </w:p>
    <w:p w14:paraId="35A974C9" w14:textId="77777777" w:rsidR="00E01122" w:rsidRPr="00CE6956" w:rsidRDefault="00E01122" w:rsidP="009B17B3">
      <w:pPr>
        <w:spacing w:after="0" w:line="360" w:lineRule="auto"/>
        <w:jc w:val="both"/>
        <w:rPr>
          <w:rFonts w:ascii="Arial" w:hAnsi="Arial" w:cs="Arial"/>
        </w:rPr>
      </w:pPr>
    </w:p>
    <w:p w14:paraId="40F20DB9" w14:textId="77777777" w:rsidR="009B17B3" w:rsidRPr="00DE3449" w:rsidRDefault="009B17B3" w:rsidP="009B17B3">
      <w:pPr>
        <w:spacing w:after="0" w:line="360" w:lineRule="auto"/>
        <w:jc w:val="both"/>
        <w:rPr>
          <w:rFonts w:ascii="Arial" w:hAnsi="Arial" w:cs="Arial"/>
          <w:b/>
        </w:rPr>
      </w:pPr>
      <w:r w:rsidRPr="00DE3449">
        <w:rPr>
          <w:rFonts w:ascii="Arial" w:hAnsi="Arial" w:cs="Arial"/>
          <w:b/>
        </w:rPr>
        <w:lastRenderedPageBreak/>
        <w:t>III. Base legal</w:t>
      </w:r>
    </w:p>
    <w:p w14:paraId="21054FB8" w14:textId="77777777" w:rsidR="009B17B3" w:rsidRPr="005A086F" w:rsidRDefault="008A7C95" w:rsidP="008A7C95">
      <w:pPr>
        <w:pStyle w:val="Prrafodelista"/>
        <w:numPr>
          <w:ilvl w:val="0"/>
          <w:numId w:val="1"/>
        </w:numPr>
        <w:spacing w:after="0" w:line="360" w:lineRule="auto"/>
        <w:jc w:val="both"/>
        <w:rPr>
          <w:rFonts w:ascii="Arial" w:hAnsi="Arial" w:cs="Arial"/>
          <w:color w:val="7030A0"/>
        </w:rPr>
      </w:pPr>
      <w:r>
        <w:rPr>
          <w:rFonts w:ascii="Arial" w:hAnsi="Arial" w:cs="Arial"/>
        </w:rPr>
        <w:t xml:space="preserve">Ley </w:t>
      </w:r>
      <w:r w:rsidR="000B40DE">
        <w:rPr>
          <w:rFonts w:ascii="Arial" w:hAnsi="Arial" w:cs="Arial"/>
        </w:rPr>
        <w:t xml:space="preserve">26842, Ley </w:t>
      </w:r>
      <w:r>
        <w:rPr>
          <w:rFonts w:ascii="Arial" w:hAnsi="Arial" w:cs="Arial"/>
        </w:rPr>
        <w:t>General de Salud</w:t>
      </w:r>
      <w:r w:rsidR="000B40DE">
        <w:rPr>
          <w:rFonts w:ascii="Arial" w:hAnsi="Arial" w:cs="Arial"/>
        </w:rPr>
        <w:t xml:space="preserve"> y sus modificatorias</w:t>
      </w:r>
      <w:r w:rsidR="00C20552">
        <w:rPr>
          <w:rFonts w:ascii="Arial" w:hAnsi="Arial" w:cs="Arial"/>
        </w:rPr>
        <w:t>.</w:t>
      </w:r>
    </w:p>
    <w:p w14:paraId="63D013B1" w14:textId="77777777" w:rsidR="00516613" w:rsidRDefault="00516613" w:rsidP="00516613">
      <w:pPr>
        <w:pStyle w:val="Prrafodelista"/>
        <w:numPr>
          <w:ilvl w:val="0"/>
          <w:numId w:val="1"/>
        </w:numPr>
        <w:spacing w:after="0" w:line="360" w:lineRule="auto"/>
        <w:jc w:val="both"/>
        <w:rPr>
          <w:rFonts w:ascii="Arial" w:hAnsi="Arial" w:cs="Arial"/>
        </w:rPr>
      </w:pPr>
      <w:r w:rsidRPr="00516613">
        <w:rPr>
          <w:rFonts w:ascii="Arial" w:hAnsi="Arial" w:cs="Arial"/>
        </w:rPr>
        <w:t>Ley Nº 27657, Ley del Ministerio de Salud</w:t>
      </w:r>
      <w:r w:rsidR="00C20552">
        <w:rPr>
          <w:rFonts w:ascii="Arial" w:hAnsi="Arial" w:cs="Arial"/>
        </w:rPr>
        <w:t>.</w:t>
      </w:r>
    </w:p>
    <w:p w14:paraId="409062F0" w14:textId="77777777" w:rsidR="008A7C95" w:rsidRDefault="008A7C95" w:rsidP="008A7C95">
      <w:pPr>
        <w:pStyle w:val="Prrafodelista"/>
        <w:numPr>
          <w:ilvl w:val="0"/>
          <w:numId w:val="1"/>
        </w:numPr>
        <w:spacing w:after="0" w:line="360" w:lineRule="auto"/>
        <w:jc w:val="both"/>
        <w:rPr>
          <w:rFonts w:ascii="Arial" w:hAnsi="Arial" w:cs="Arial"/>
        </w:rPr>
      </w:pPr>
      <w:r>
        <w:rPr>
          <w:rFonts w:ascii="Arial" w:hAnsi="Arial" w:cs="Arial"/>
        </w:rPr>
        <w:t xml:space="preserve">Ley </w:t>
      </w:r>
      <w:r w:rsidR="00BA7DAF" w:rsidRPr="00516613">
        <w:rPr>
          <w:rFonts w:ascii="Arial" w:hAnsi="Arial" w:cs="Arial"/>
        </w:rPr>
        <w:t>Nº</w:t>
      </w:r>
      <w:r w:rsidR="00BA7DAF">
        <w:rPr>
          <w:rFonts w:ascii="Arial" w:hAnsi="Arial" w:cs="Arial"/>
        </w:rPr>
        <w:t xml:space="preserve"> </w:t>
      </w:r>
      <w:r>
        <w:rPr>
          <w:rFonts w:ascii="Arial" w:hAnsi="Arial" w:cs="Arial"/>
        </w:rPr>
        <w:t>27867</w:t>
      </w:r>
      <w:r w:rsidR="0071314A">
        <w:rPr>
          <w:rFonts w:ascii="Arial" w:hAnsi="Arial" w:cs="Arial"/>
        </w:rPr>
        <w:t xml:space="preserve">, Ley Orgánica de </w:t>
      </w:r>
      <w:r w:rsidR="00836D45">
        <w:rPr>
          <w:rFonts w:ascii="Arial" w:hAnsi="Arial" w:cs="Arial"/>
        </w:rPr>
        <w:t xml:space="preserve"> Gobiernos regionales, y sus modificatorias</w:t>
      </w:r>
      <w:r w:rsidR="00836D45" w:rsidRPr="00EB66C2">
        <w:rPr>
          <w:rFonts w:ascii="Arial" w:hAnsi="Arial" w:cs="Arial"/>
          <w:color w:val="7030A0"/>
        </w:rPr>
        <w:t>.</w:t>
      </w:r>
    </w:p>
    <w:p w14:paraId="7E3071C4" w14:textId="77777777" w:rsidR="00C20552" w:rsidRDefault="008A7C95" w:rsidP="001966B3">
      <w:pPr>
        <w:pStyle w:val="Prrafodelista"/>
        <w:numPr>
          <w:ilvl w:val="0"/>
          <w:numId w:val="1"/>
        </w:numPr>
        <w:spacing w:after="0" w:line="360" w:lineRule="auto"/>
        <w:jc w:val="both"/>
        <w:rPr>
          <w:rFonts w:ascii="Arial" w:hAnsi="Arial" w:cs="Arial"/>
        </w:rPr>
      </w:pPr>
      <w:r w:rsidRPr="00C20552">
        <w:rPr>
          <w:rFonts w:ascii="Arial" w:hAnsi="Arial" w:cs="Arial"/>
        </w:rPr>
        <w:t xml:space="preserve">Ley </w:t>
      </w:r>
      <w:r w:rsidR="00BA7DAF" w:rsidRPr="00C20552">
        <w:rPr>
          <w:rFonts w:ascii="Arial" w:hAnsi="Arial" w:cs="Arial"/>
        </w:rPr>
        <w:t xml:space="preserve">Nº </w:t>
      </w:r>
      <w:r w:rsidRPr="00C20552">
        <w:rPr>
          <w:rFonts w:ascii="Arial" w:hAnsi="Arial" w:cs="Arial"/>
        </w:rPr>
        <w:t>27972</w:t>
      </w:r>
      <w:r w:rsidR="008829A2" w:rsidRPr="00C20552">
        <w:rPr>
          <w:rFonts w:ascii="Arial" w:hAnsi="Arial" w:cs="Arial"/>
        </w:rPr>
        <w:t>, Ley Orgánica de Municipalidades, y sus modificatorias</w:t>
      </w:r>
      <w:r w:rsidR="00C20552">
        <w:rPr>
          <w:rFonts w:ascii="Arial" w:hAnsi="Arial" w:cs="Arial"/>
        </w:rPr>
        <w:t>.</w:t>
      </w:r>
    </w:p>
    <w:p w14:paraId="23897194" w14:textId="77777777" w:rsidR="008A7C95" w:rsidRPr="00C20552" w:rsidRDefault="000B40DE" w:rsidP="001966B3">
      <w:pPr>
        <w:pStyle w:val="Prrafodelista"/>
        <w:numPr>
          <w:ilvl w:val="0"/>
          <w:numId w:val="1"/>
        </w:numPr>
        <w:spacing w:after="0" w:line="360" w:lineRule="auto"/>
        <w:jc w:val="both"/>
        <w:rPr>
          <w:rFonts w:ascii="Arial" w:hAnsi="Arial" w:cs="Arial"/>
        </w:rPr>
      </w:pPr>
      <w:r w:rsidRPr="00C20552">
        <w:rPr>
          <w:rFonts w:ascii="Arial" w:hAnsi="Arial" w:cs="Arial"/>
        </w:rPr>
        <w:t xml:space="preserve">Ley </w:t>
      </w:r>
      <w:r w:rsidR="00BA7DAF" w:rsidRPr="00C20552">
        <w:rPr>
          <w:rFonts w:ascii="Arial" w:hAnsi="Arial" w:cs="Arial"/>
        </w:rPr>
        <w:t xml:space="preserve">Nº </w:t>
      </w:r>
      <w:r w:rsidRPr="00C20552">
        <w:rPr>
          <w:rFonts w:ascii="Arial" w:hAnsi="Arial" w:cs="Arial"/>
        </w:rPr>
        <w:t>29414 Ley que establece los Derechos de las Personas Usuarias de los Servicios</w:t>
      </w:r>
      <w:r w:rsidR="00EB66C2" w:rsidRPr="00C20552">
        <w:rPr>
          <w:rFonts w:ascii="Arial" w:hAnsi="Arial" w:cs="Arial"/>
        </w:rPr>
        <w:t xml:space="preserve"> </w:t>
      </w:r>
      <w:r w:rsidRPr="00C20552">
        <w:rPr>
          <w:rFonts w:ascii="Arial" w:hAnsi="Arial" w:cs="Arial"/>
        </w:rPr>
        <w:t>de Salud.</w:t>
      </w:r>
    </w:p>
    <w:p w14:paraId="6AD6FA87" w14:textId="77777777" w:rsidR="002E1625" w:rsidRDefault="002E1625" w:rsidP="002E1625">
      <w:pPr>
        <w:pStyle w:val="Prrafodelista"/>
        <w:numPr>
          <w:ilvl w:val="0"/>
          <w:numId w:val="1"/>
        </w:numPr>
        <w:spacing w:after="0" w:line="360" w:lineRule="auto"/>
        <w:jc w:val="both"/>
        <w:rPr>
          <w:rFonts w:ascii="Arial" w:hAnsi="Arial" w:cs="Arial"/>
        </w:rPr>
      </w:pPr>
      <w:r>
        <w:rPr>
          <w:rFonts w:ascii="Arial" w:hAnsi="Arial" w:cs="Arial"/>
        </w:rPr>
        <w:t>Ley</w:t>
      </w:r>
      <w:r w:rsidR="00BA7DAF">
        <w:rPr>
          <w:rFonts w:ascii="Arial" w:hAnsi="Arial" w:cs="Arial"/>
        </w:rPr>
        <w:t xml:space="preserve"> </w:t>
      </w:r>
      <w:r w:rsidR="00BA7DAF" w:rsidRPr="00516613">
        <w:rPr>
          <w:rFonts w:ascii="Arial" w:hAnsi="Arial" w:cs="Arial"/>
        </w:rPr>
        <w:t>Nº</w:t>
      </w:r>
      <w:r>
        <w:rPr>
          <w:rFonts w:ascii="Arial" w:hAnsi="Arial" w:cs="Arial"/>
        </w:rPr>
        <w:t xml:space="preserve"> 30687, </w:t>
      </w:r>
      <w:r w:rsidRPr="003D4903">
        <w:rPr>
          <w:rFonts w:ascii="Arial" w:hAnsi="Arial" w:cs="Arial"/>
        </w:rPr>
        <w:t>Ley de promoción de los derechos de las personas de talla baja</w:t>
      </w:r>
    </w:p>
    <w:p w14:paraId="5455FCFC" w14:textId="77777777" w:rsidR="002E1625" w:rsidRDefault="00BA7DAF" w:rsidP="002E1625">
      <w:pPr>
        <w:pStyle w:val="Prrafodelista"/>
        <w:numPr>
          <w:ilvl w:val="0"/>
          <w:numId w:val="1"/>
        </w:numPr>
        <w:spacing w:after="0" w:line="360" w:lineRule="auto"/>
        <w:jc w:val="both"/>
        <w:rPr>
          <w:rFonts w:ascii="Arial" w:hAnsi="Arial" w:cs="Arial"/>
        </w:rPr>
      </w:pPr>
      <w:r>
        <w:rPr>
          <w:rFonts w:ascii="Arial" w:hAnsi="Arial" w:cs="Arial"/>
        </w:rPr>
        <w:t xml:space="preserve">Ley </w:t>
      </w:r>
      <w:r w:rsidRPr="00516613">
        <w:rPr>
          <w:rFonts w:ascii="Arial" w:hAnsi="Arial" w:cs="Arial"/>
        </w:rPr>
        <w:t>Nº</w:t>
      </w:r>
      <w:r w:rsidR="002E1625">
        <w:rPr>
          <w:rFonts w:ascii="Arial" w:hAnsi="Arial" w:cs="Arial"/>
        </w:rPr>
        <w:t xml:space="preserve"> </w:t>
      </w:r>
      <w:r w:rsidR="002E1625" w:rsidRPr="002E1625">
        <w:rPr>
          <w:rFonts w:ascii="Arial" w:hAnsi="Arial" w:cs="Arial"/>
        </w:rPr>
        <w:t>29973,</w:t>
      </w:r>
      <w:r w:rsidR="002E1625" w:rsidRPr="002E1625">
        <w:rPr>
          <w:rFonts w:ascii="Arial" w:hAnsi="Arial" w:cs="Arial"/>
        </w:rPr>
        <w:tab/>
        <w:t>Ley</w:t>
      </w:r>
      <w:r w:rsidR="002E1625">
        <w:rPr>
          <w:rFonts w:ascii="Arial" w:hAnsi="Arial" w:cs="Arial"/>
        </w:rPr>
        <w:t xml:space="preserve"> </w:t>
      </w:r>
      <w:r w:rsidR="002E1625" w:rsidRPr="002E1625">
        <w:rPr>
          <w:rFonts w:ascii="Arial" w:hAnsi="Arial" w:cs="Arial"/>
        </w:rPr>
        <w:t>General</w:t>
      </w:r>
      <w:r w:rsidR="002E1625">
        <w:rPr>
          <w:rFonts w:ascii="Arial" w:hAnsi="Arial" w:cs="Arial"/>
        </w:rPr>
        <w:t xml:space="preserve"> </w:t>
      </w:r>
      <w:r w:rsidR="002E1625" w:rsidRPr="002E1625">
        <w:rPr>
          <w:rFonts w:ascii="Arial" w:hAnsi="Arial" w:cs="Arial"/>
        </w:rPr>
        <w:t>de</w:t>
      </w:r>
      <w:r w:rsidR="002E1625">
        <w:rPr>
          <w:rFonts w:ascii="Arial" w:hAnsi="Arial" w:cs="Arial"/>
        </w:rPr>
        <w:t xml:space="preserve"> </w:t>
      </w:r>
      <w:r w:rsidR="002E1625" w:rsidRPr="002E1625">
        <w:rPr>
          <w:rFonts w:ascii="Arial" w:hAnsi="Arial" w:cs="Arial"/>
        </w:rPr>
        <w:t>la</w:t>
      </w:r>
      <w:r w:rsidR="002E1625">
        <w:rPr>
          <w:rFonts w:ascii="Arial" w:hAnsi="Arial" w:cs="Arial"/>
        </w:rPr>
        <w:t xml:space="preserve"> </w:t>
      </w:r>
      <w:r w:rsidR="002E1625" w:rsidRPr="002E1625">
        <w:rPr>
          <w:rFonts w:ascii="Arial" w:hAnsi="Arial" w:cs="Arial"/>
        </w:rPr>
        <w:t>Persona</w:t>
      </w:r>
      <w:r w:rsidR="002E1625">
        <w:rPr>
          <w:rFonts w:ascii="Arial" w:hAnsi="Arial" w:cs="Arial"/>
        </w:rPr>
        <w:t xml:space="preserve"> </w:t>
      </w:r>
      <w:r w:rsidR="002E1625" w:rsidRPr="002E1625">
        <w:rPr>
          <w:rFonts w:ascii="Arial" w:hAnsi="Arial" w:cs="Arial"/>
        </w:rPr>
        <w:t>con</w:t>
      </w:r>
      <w:r w:rsidR="002E1625">
        <w:rPr>
          <w:rFonts w:ascii="Arial" w:hAnsi="Arial" w:cs="Arial"/>
        </w:rPr>
        <w:t xml:space="preserve"> </w:t>
      </w:r>
      <w:r w:rsidR="002E1625" w:rsidRPr="002E1625">
        <w:rPr>
          <w:rFonts w:ascii="Arial" w:hAnsi="Arial" w:cs="Arial"/>
        </w:rPr>
        <w:t>Discapacidad;</w:t>
      </w:r>
      <w:r w:rsidR="002E1625">
        <w:rPr>
          <w:rFonts w:ascii="Arial" w:hAnsi="Arial" w:cs="Arial"/>
        </w:rPr>
        <w:t xml:space="preserve"> </w:t>
      </w:r>
      <w:r w:rsidR="002E1625" w:rsidRPr="002E1625">
        <w:rPr>
          <w:rFonts w:ascii="Arial" w:hAnsi="Arial" w:cs="Arial"/>
        </w:rPr>
        <w:t>y</w:t>
      </w:r>
      <w:r w:rsidR="002E1625">
        <w:rPr>
          <w:rFonts w:ascii="Arial" w:hAnsi="Arial" w:cs="Arial"/>
        </w:rPr>
        <w:t xml:space="preserve"> </w:t>
      </w:r>
      <w:r w:rsidR="002E1625" w:rsidRPr="002E1625">
        <w:rPr>
          <w:rFonts w:ascii="Arial" w:hAnsi="Arial" w:cs="Arial"/>
        </w:rPr>
        <w:t>modificatorias.</w:t>
      </w:r>
    </w:p>
    <w:p w14:paraId="01D737C7" w14:textId="77777777" w:rsidR="00C42E5C" w:rsidRDefault="00C42E5C" w:rsidP="002E1625">
      <w:pPr>
        <w:pStyle w:val="Prrafodelista"/>
        <w:numPr>
          <w:ilvl w:val="0"/>
          <w:numId w:val="1"/>
        </w:numPr>
        <w:spacing w:after="0" w:line="360" w:lineRule="auto"/>
        <w:jc w:val="both"/>
        <w:rPr>
          <w:rFonts w:ascii="Arial" w:hAnsi="Arial" w:cs="Arial"/>
        </w:rPr>
      </w:pPr>
      <w:r>
        <w:rPr>
          <w:rFonts w:ascii="Arial" w:hAnsi="Arial" w:cs="Arial"/>
        </w:rPr>
        <w:t>Ley</w:t>
      </w:r>
      <w:r w:rsidR="00BA7DAF">
        <w:rPr>
          <w:rFonts w:ascii="Arial" w:hAnsi="Arial" w:cs="Arial"/>
        </w:rPr>
        <w:t xml:space="preserve"> </w:t>
      </w:r>
      <w:r w:rsidR="00BA7DAF" w:rsidRPr="00516613">
        <w:rPr>
          <w:rFonts w:ascii="Arial" w:hAnsi="Arial" w:cs="Arial"/>
        </w:rPr>
        <w:t>Nº</w:t>
      </w:r>
      <w:r>
        <w:rPr>
          <w:rFonts w:ascii="Arial" w:hAnsi="Arial" w:cs="Arial"/>
        </w:rPr>
        <w:t xml:space="preserve"> 29885, Ley que declara de interés nacional la creación del Programa de Tamizaje Neonatal Universal.</w:t>
      </w:r>
    </w:p>
    <w:p w14:paraId="388373CF" w14:textId="77777777" w:rsidR="00C42E5C" w:rsidRDefault="00C42E5C" w:rsidP="002E1625">
      <w:pPr>
        <w:pStyle w:val="Prrafodelista"/>
        <w:numPr>
          <w:ilvl w:val="0"/>
          <w:numId w:val="1"/>
        </w:numPr>
        <w:spacing w:after="0" w:line="360" w:lineRule="auto"/>
        <w:jc w:val="both"/>
        <w:rPr>
          <w:rFonts w:ascii="Arial" w:hAnsi="Arial" w:cs="Arial"/>
        </w:rPr>
      </w:pPr>
      <w:r>
        <w:rPr>
          <w:rFonts w:ascii="Arial" w:hAnsi="Arial" w:cs="Arial"/>
        </w:rPr>
        <w:t xml:space="preserve">Ley </w:t>
      </w:r>
      <w:r w:rsidR="00BA7DAF" w:rsidRPr="00516613">
        <w:rPr>
          <w:rFonts w:ascii="Arial" w:hAnsi="Arial" w:cs="Arial"/>
        </w:rPr>
        <w:t>Nº</w:t>
      </w:r>
      <w:r w:rsidR="00BA7DAF">
        <w:rPr>
          <w:rFonts w:ascii="Arial" w:hAnsi="Arial" w:cs="Arial"/>
        </w:rPr>
        <w:t xml:space="preserve"> 29698, Ley que declara de Interés Nacional y Preferente Atención el Tratamiento de personas que padecen Enfermedades Raras o Huérfanas.</w:t>
      </w:r>
      <w:r w:rsidR="005F64A5">
        <w:rPr>
          <w:rFonts w:ascii="Arial" w:hAnsi="Arial" w:cs="Arial"/>
        </w:rPr>
        <w:t xml:space="preserve"> </w:t>
      </w:r>
    </w:p>
    <w:p w14:paraId="25FE8D9E" w14:textId="77777777" w:rsidR="006F434F" w:rsidRDefault="006F434F" w:rsidP="001966B3">
      <w:pPr>
        <w:pStyle w:val="Prrafodelista"/>
        <w:numPr>
          <w:ilvl w:val="0"/>
          <w:numId w:val="1"/>
        </w:numPr>
        <w:spacing w:after="0" w:line="360" w:lineRule="auto"/>
        <w:jc w:val="both"/>
        <w:rPr>
          <w:rFonts w:ascii="Arial" w:hAnsi="Arial" w:cs="Arial"/>
        </w:rPr>
      </w:pPr>
      <w:r>
        <w:rPr>
          <w:rFonts w:ascii="Arial" w:hAnsi="Arial" w:cs="Arial"/>
          <w:color w:val="000000"/>
        </w:rPr>
        <w:t xml:space="preserve">Decreto Legislativo N° 1161, Ley de Organización y Funciones del Ministerio de </w:t>
      </w:r>
      <w:r w:rsidRPr="007B1C7A">
        <w:rPr>
          <w:rFonts w:ascii="Arial" w:hAnsi="Arial" w:cs="Arial"/>
        </w:rPr>
        <w:t>Salud.</w:t>
      </w:r>
    </w:p>
    <w:p w14:paraId="318BA078" w14:textId="77777777" w:rsidR="00BE3349" w:rsidRPr="00BE3349" w:rsidRDefault="00BE3349" w:rsidP="00FA7089">
      <w:pPr>
        <w:pStyle w:val="Prrafodelista"/>
        <w:numPr>
          <w:ilvl w:val="0"/>
          <w:numId w:val="1"/>
        </w:numPr>
        <w:spacing w:after="0" w:line="360" w:lineRule="auto"/>
        <w:jc w:val="both"/>
        <w:rPr>
          <w:rFonts w:ascii="Arial" w:hAnsi="Arial" w:cs="Arial"/>
        </w:rPr>
      </w:pPr>
      <w:r w:rsidRPr="00BE3349">
        <w:rPr>
          <w:rFonts w:ascii="Arial" w:hAnsi="Arial" w:cs="Arial"/>
        </w:rPr>
        <w:t>Decreto  Supremo  N°  002-2014-MIMP, que aprueba el Reglamento de</w:t>
      </w:r>
      <w:r w:rsidRPr="00BE3349">
        <w:rPr>
          <w:rFonts w:ascii="Arial" w:hAnsi="Arial" w:cs="Arial"/>
        </w:rPr>
        <w:tab/>
        <w:t xml:space="preserve"> la Ley</w:t>
      </w:r>
      <w:r w:rsidRPr="00BE3349">
        <w:rPr>
          <w:rFonts w:ascii="Arial" w:hAnsi="Arial" w:cs="Arial"/>
        </w:rPr>
        <w:tab/>
        <w:t xml:space="preserve"> N° 29973,</w:t>
      </w:r>
      <w:r>
        <w:rPr>
          <w:rFonts w:ascii="Arial" w:hAnsi="Arial" w:cs="Arial"/>
        </w:rPr>
        <w:t xml:space="preserve"> </w:t>
      </w:r>
      <w:r w:rsidRPr="00BE3349">
        <w:rPr>
          <w:rFonts w:ascii="Arial" w:hAnsi="Arial" w:cs="Arial"/>
        </w:rPr>
        <w:t>Ley</w:t>
      </w:r>
      <w:r w:rsidRPr="00BE3349">
        <w:rPr>
          <w:rFonts w:ascii="Arial" w:hAnsi="Arial" w:cs="Arial"/>
        </w:rPr>
        <w:tab/>
        <w:t>General</w:t>
      </w:r>
      <w:r>
        <w:rPr>
          <w:rFonts w:ascii="Arial" w:hAnsi="Arial" w:cs="Arial"/>
        </w:rPr>
        <w:t xml:space="preserve"> d</w:t>
      </w:r>
      <w:r w:rsidRPr="00BE3349">
        <w:rPr>
          <w:rFonts w:ascii="Arial" w:hAnsi="Arial" w:cs="Arial"/>
        </w:rPr>
        <w:t>e</w:t>
      </w:r>
      <w:r>
        <w:rPr>
          <w:rFonts w:ascii="Arial" w:hAnsi="Arial" w:cs="Arial"/>
        </w:rPr>
        <w:t xml:space="preserve"> l</w:t>
      </w:r>
      <w:r w:rsidRPr="00BE3349">
        <w:rPr>
          <w:rFonts w:ascii="Arial" w:hAnsi="Arial" w:cs="Arial"/>
        </w:rPr>
        <w:t>a</w:t>
      </w:r>
      <w:r w:rsidRPr="00BE3349">
        <w:rPr>
          <w:rFonts w:ascii="Arial" w:hAnsi="Arial" w:cs="Arial"/>
        </w:rPr>
        <w:tab/>
        <w:t>Persona</w:t>
      </w:r>
      <w:r>
        <w:rPr>
          <w:rFonts w:ascii="Arial" w:hAnsi="Arial" w:cs="Arial"/>
        </w:rPr>
        <w:t xml:space="preserve"> con </w:t>
      </w:r>
      <w:r w:rsidRPr="00BE3349">
        <w:rPr>
          <w:rFonts w:ascii="Arial" w:hAnsi="Arial" w:cs="Arial"/>
        </w:rPr>
        <w:t>Discapacidad.</w:t>
      </w:r>
    </w:p>
    <w:p w14:paraId="5497ECAA" w14:textId="77777777" w:rsidR="006F434F" w:rsidRDefault="007B1C7A" w:rsidP="007B1C7A">
      <w:pPr>
        <w:pStyle w:val="Prrafodelista"/>
        <w:numPr>
          <w:ilvl w:val="0"/>
          <w:numId w:val="1"/>
        </w:numPr>
        <w:spacing w:after="0" w:line="360" w:lineRule="auto"/>
        <w:ind w:left="714" w:hanging="357"/>
        <w:jc w:val="both"/>
        <w:rPr>
          <w:rFonts w:ascii="Arial" w:hAnsi="Arial" w:cs="Arial"/>
        </w:rPr>
      </w:pPr>
      <w:r w:rsidRPr="007B1C7A">
        <w:rPr>
          <w:rFonts w:ascii="Arial" w:hAnsi="Arial" w:cs="Arial"/>
        </w:rPr>
        <w:t>Decreto Supremo N° 008-2017-SA, que aprueba el Reglamento de Organización y</w:t>
      </w:r>
      <w:r>
        <w:rPr>
          <w:rFonts w:ascii="Arial" w:hAnsi="Arial" w:cs="Arial"/>
        </w:rPr>
        <w:t xml:space="preserve"> </w:t>
      </w:r>
      <w:r w:rsidRPr="007B1C7A">
        <w:rPr>
          <w:rFonts w:ascii="Arial" w:hAnsi="Arial" w:cs="Arial"/>
        </w:rPr>
        <w:t>Funciones del Ministerio de Salud y sus modificatorias</w:t>
      </w:r>
      <w:r w:rsidR="00D235AA">
        <w:rPr>
          <w:rFonts w:ascii="Arial" w:hAnsi="Arial" w:cs="Arial"/>
        </w:rPr>
        <w:t>.</w:t>
      </w:r>
    </w:p>
    <w:p w14:paraId="635F2420" w14:textId="77777777" w:rsidR="00D235AA" w:rsidRDefault="00D235AA" w:rsidP="00D235AA">
      <w:pPr>
        <w:pStyle w:val="Prrafodelista"/>
        <w:numPr>
          <w:ilvl w:val="0"/>
          <w:numId w:val="1"/>
        </w:numPr>
        <w:spacing w:after="0" w:line="360" w:lineRule="auto"/>
        <w:jc w:val="both"/>
        <w:rPr>
          <w:rFonts w:ascii="Arial" w:hAnsi="Arial" w:cs="Arial"/>
        </w:rPr>
      </w:pPr>
      <w:r w:rsidRPr="00BE3349">
        <w:rPr>
          <w:rFonts w:ascii="Arial" w:hAnsi="Arial" w:cs="Arial"/>
        </w:rPr>
        <w:t xml:space="preserve">Decreto  Supremo  N°  </w:t>
      </w:r>
      <w:r w:rsidRPr="00D235AA">
        <w:rPr>
          <w:rFonts w:ascii="Arial" w:hAnsi="Arial" w:cs="Arial"/>
        </w:rPr>
        <w:t>014-2013-SA</w:t>
      </w:r>
      <w:r>
        <w:rPr>
          <w:rFonts w:ascii="Arial" w:hAnsi="Arial" w:cs="Arial"/>
        </w:rPr>
        <w:t xml:space="preserve">, que aprueba el Reglamento de la Ley N° 29885, </w:t>
      </w:r>
      <w:r w:rsidRPr="00D235AA">
        <w:rPr>
          <w:rFonts w:ascii="Arial" w:hAnsi="Arial" w:cs="Arial"/>
        </w:rPr>
        <w:t>Ley que declara de interés nacional la creación del Programa de Tamizaje Neonatal Universa</w:t>
      </w:r>
      <w:r>
        <w:rPr>
          <w:rFonts w:ascii="Arial" w:hAnsi="Arial" w:cs="Arial"/>
        </w:rPr>
        <w:t>l.</w:t>
      </w:r>
    </w:p>
    <w:p w14:paraId="53F9CED1" w14:textId="00EACAD7" w:rsidR="009E2D55" w:rsidRDefault="009E2D55" w:rsidP="00CA643D">
      <w:pPr>
        <w:pStyle w:val="Prrafodelista"/>
        <w:numPr>
          <w:ilvl w:val="0"/>
          <w:numId w:val="1"/>
        </w:numPr>
        <w:spacing w:after="0" w:line="360" w:lineRule="auto"/>
        <w:jc w:val="both"/>
        <w:rPr>
          <w:rFonts w:ascii="Arial" w:hAnsi="Arial" w:cs="Arial"/>
        </w:rPr>
      </w:pPr>
      <w:r w:rsidRPr="007B1C7A">
        <w:rPr>
          <w:rFonts w:ascii="Arial" w:hAnsi="Arial" w:cs="Arial"/>
        </w:rPr>
        <w:t xml:space="preserve">Decreto Supremo N° </w:t>
      </w:r>
      <w:r w:rsidRPr="009E2D55">
        <w:rPr>
          <w:rFonts w:ascii="Arial" w:hAnsi="Arial" w:cs="Arial"/>
        </w:rPr>
        <w:t>004-2019-SA</w:t>
      </w:r>
      <w:r>
        <w:rPr>
          <w:rFonts w:ascii="Arial" w:hAnsi="Arial" w:cs="Arial"/>
        </w:rPr>
        <w:t xml:space="preserve">, que aprueba el Reglamento </w:t>
      </w:r>
      <w:r w:rsidR="00CA643D">
        <w:rPr>
          <w:rFonts w:ascii="Arial" w:hAnsi="Arial" w:cs="Arial"/>
        </w:rPr>
        <w:t>d</w:t>
      </w:r>
      <w:r w:rsidR="00CA643D" w:rsidRPr="00CA643D">
        <w:rPr>
          <w:rFonts w:ascii="Arial" w:hAnsi="Arial" w:cs="Arial"/>
        </w:rPr>
        <w:t>e la Ley N° 29698, Ley que declara de Interés Nacional y Preferente Atención el Tratamiento de personas que padecen Enfermedades Raras o Huérfanas</w:t>
      </w:r>
      <w:r w:rsidR="00FE31B7">
        <w:rPr>
          <w:rFonts w:ascii="Arial" w:hAnsi="Arial" w:cs="Arial"/>
        </w:rPr>
        <w:t>.</w:t>
      </w:r>
    </w:p>
    <w:p w14:paraId="4A744C92" w14:textId="4969230A" w:rsidR="00FE31B7" w:rsidRPr="00FE31B7" w:rsidRDefault="00FE31B7" w:rsidP="00CA643D">
      <w:pPr>
        <w:pStyle w:val="Prrafodelista"/>
        <w:numPr>
          <w:ilvl w:val="0"/>
          <w:numId w:val="1"/>
        </w:numPr>
        <w:spacing w:after="0" w:line="360" w:lineRule="auto"/>
        <w:jc w:val="both"/>
        <w:rPr>
          <w:rFonts w:ascii="Arial" w:hAnsi="Arial" w:cs="Arial"/>
          <w:highlight w:val="yellow"/>
        </w:rPr>
      </w:pPr>
      <w:r w:rsidRPr="00FE31B7">
        <w:rPr>
          <w:rFonts w:ascii="Arial" w:hAnsi="Arial" w:cs="Arial"/>
          <w:highlight w:val="yellow"/>
        </w:rPr>
        <w:t>Resolución Ministerial N°537-2017, que aprueba la Norma técnica 137</w:t>
      </w:r>
      <w:r w:rsidR="00626C48">
        <w:rPr>
          <w:rFonts w:ascii="Arial" w:hAnsi="Arial" w:cs="Arial"/>
          <w:highlight w:val="yellow"/>
        </w:rPr>
        <w:t>.. (falta detallar mejor).</w:t>
      </w:r>
    </w:p>
    <w:p w14:paraId="3180170C" w14:textId="77777777" w:rsidR="003F6D0C" w:rsidRDefault="003F6D0C" w:rsidP="007E540D">
      <w:pPr>
        <w:pStyle w:val="Prrafodelista"/>
        <w:numPr>
          <w:ilvl w:val="0"/>
          <w:numId w:val="1"/>
        </w:numPr>
        <w:spacing w:after="0" w:line="360" w:lineRule="auto"/>
        <w:jc w:val="both"/>
        <w:rPr>
          <w:rFonts w:ascii="Arial" w:hAnsi="Arial" w:cs="Arial"/>
        </w:rPr>
      </w:pPr>
      <w:r w:rsidRPr="006C141B">
        <w:rPr>
          <w:rFonts w:ascii="Arial" w:hAnsi="Arial" w:cs="Arial"/>
        </w:rPr>
        <w:t>Resolución Ministerial N° 850-2016/MINSA, que aprueba el documento denominado</w:t>
      </w:r>
      <w:r w:rsidR="006C141B">
        <w:rPr>
          <w:rFonts w:ascii="Arial" w:hAnsi="Arial" w:cs="Arial"/>
        </w:rPr>
        <w:t xml:space="preserve"> </w:t>
      </w:r>
      <w:r w:rsidRPr="006C141B">
        <w:rPr>
          <w:rFonts w:ascii="Arial" w:hAnsi="Arial" w:cs="Arial"/>
        </w:rPr>
        <w:t>“Normas para la Elaboración de Documentos Normativos del Ministerio de Salud”.</w:t>
      </w:r>
    </w:p>
    <w:p w14:paraId="1A00E926" w14:textId="77777777" w:rsidR="009A21F9" w:rsidRPr="00E81103" w:rsidRDefault="009A21F9" w:rsidP="007E540D">
      <w:pPr>
        <w:pStyle w:val="Prrafodelista"/>
        <w:numPr>
          <w:ilvl w:val="0"/>
          <w:numId w:val="1"/>
        </w:numPr>
        <w:spacing w:after="0" w:line="360" w:lineRule="auto"/>
        <w:jc w:val="both"/>
        <w:rPr>
          <w:rFonts w:ascii="Arial" w:hAnsi="Arial" w:cs="Arial"/>
        </w:rPr>
      </w:pPr>
      <w:r w:rsidRPr="00E81103">
        <w:rPr>
          <w:rFonts w:ascii="Arial" w:hAnsi="Arial" w:cs="Arial"/>
        </w:rPr>
        <w:t>Resolución Ministerial N° 828-2013/</w:t>
      </w:r>
      <w:r w:rsidR="001C05DC" w:rsidRPr="00E81103">
        <w:rPr>
          <w:rFonts w:ascii="Arial" w:hAnsi="Arial" w:cs="Arial"/>
        </w:rPr>
        <w:t>MINSA</w:t>
      </w:r>
      <w:r w:rsidR="00984A6C" w:rsidRPr="00E81103">
        <w:rPr>
          <w:rFonts w:ascii="Arial" w:hAnsi="Arial" w:cs="Arial"/>
        </w:rPr>
        <w:t xml:space="preserve">, que aprueba </w:t>
      </w:r>
      <w:r w:rsidR="00A232C1" w:rsidRPr="00E81103">
        <w:rPr>
          <w:rFonts w:ascii="Arial" w:hAnsi="Arial" w:cs="Arial"/>
        </w:rPr>
        <w:t xml:space="preserve">la Norma técnica de   </w:t>
      </w:r>
      <w:r w:rsidR="00552BF3" w:rsidRPr="00E81103">
        <w:rPr>
          <w:rFonts w:ascii="Arial" w:hAnsi="Arial" w:cs="Arial"/>
        </w:rPr>
        <w:t xml:space="preserve">salud </w:t>
      </w:r>
      <w:r w:rsidR="00892A10" w:rsidRPr="00E81103">
        <w:rPr>
          <w:rFonts w:ascii="Arial" w:hAnsi="Arial" w:cs="Arial"/>
        </w:rPr>
        <w:t>para la A</w:t>
      </w:r>
      <w:r w:rsidR="00A232C1" w:rsidRPr="00E81103">
        <w:rPr>
          <w:rFonts w:ascii="Arial" w:hAnsi="Arial" w:cs="Arial"/>
        </w:rPr>
        <w:t xml:space="preserve">tención </w:t>
      </w:r>
      <w:r w:rsidR="00892A10" w:rsidRPr="00E81103">
        <w:rPr>
          <w:rFonts w:ascii="Arial" w:hAnsi="Arial" w:cs="Arial"/>
        </w:rPr>
        <w:t>Integral de Salud Neonatal.</w:t>
      </w:r>
    </w:p>
    <w:p w14:paraId="2FFD1CB7" w14:textId="77777777" w:rsidR="006861E2" w:rsidRPr="000C48E5" w:rsidRDefault="006861E2" w:rsidP="007E540D">
      <w:pPr>
        <w:pStyle w:val="Prrafodelista"/>
        <w:numPr>
          <w:ilvl w:val="0"/>
          <w:numId w:val="1"/>
        </w:numPr>
        <w:spacing w:after="0" w:line="360" w:lineRule="auto"/>
        <w:jc w:val="both"/>
        <w:rPr>
          <w:rFonts w:ascii="Arial" w:hAnsi="Arial" w:cs="Arial"/>
        </w:rPr>
      </w:pPr>
      <w:r w:rsidRPr="000C48E5">
        <w:rPr>
          <w:rFonts w:ascii="Arial" w:hAnsi="Arial" w:cs="Arial"/>
        </w:rPr>
        <w:t>R</w:t>
      </w:r>
      <w:r w:rsidR="00CA643D" w:rsidRPr="000C48E5">
        <w:rPr>
          <w:rFonts w:ascii="Arial" w:hAnsi="Arial" w:cs="Arial"/>
        </w:rPr>
        <w:t xml:space="preserve">esolución </w:t>
      </w:r>
      <w:r w:rsidRPr="000C48E5">
        <w:rPr>
          <w:rFonts w:ascii="Arial" w:hAnsi="Arial" w:cs="Arial"/>
        </w:rPr>
        <w:t>M</w:t>
      </w:r>
      <w:r w:rsidR="00CA643D" w:rsidRPr="000C48E5">
        <w:rPr>
          <w:rFonts w:ascii="Arial" w:hAnsi="Arial" w:cs="Arial"/>
        </w:rPr>
        <w:t>inisterial N°</w:t>
      </w:r>
      <w:r w:rsidRPr="000C48E5">
        <w:rPr>
          <w:rFonts w:ascii="Arial" w:hAnsi="Arial" w:cs="Arial"/>
        </w:rPr>
        <w:t xml:space="preserve"> 751-2004, que aprueba la N</w:t>
      </w:r>
      <w:r w:rsidR="00CA643D" w:rsidRPr="000C48E5">
        <w:rPr>
          <w:rFonts w:ascii="Arial" w:hAnsi="Arial" w:cs="Arial"/>
        </w:rPr>
        <w:t xml:space="preserve">orma </w:t>
      </w:r>
      <w:r w:rsidRPr="000C48E5">
        <w:rPr>
          <w:rFonts w:ascii="Arial" w:hAnsi="Arial" w:cs="Arial"/>
        </w:rPr>
        <w:t>T</w:t>
      </w:r>
      <w:r w:rsidR="00CA643D" w:rsidRPr="000C48E5">
        <w:rPr>
          <w:rFonts w:ascii="Arial" w:hAnsi="Arial" w:cs="Arial"/>
        </w:rPr>
        <w:t xml:space="preserve">écnica en </w:t>
      </w:r>
      <w:r w:rsidRPr="000C48E5">
        <w:rPr>
          <w:rFonts w:ascii="Arial" w:hAnsi="Arial" w:cs="Arial"/>
        </w:rPr>
        <w:t>S</w:t>
      </w:r>
      <w:r w:rsidR="00CA643D" w:rsidRPr="000C48E5">
        <w:rPr>
          <w:rFonts w:ascii="Arial" w:hAnsi="Arial" w:cs="Arial"/>
        </w:rPr>
        <w:t>alud</w:t>
      </w:r>
      <w:r w:rsidRPr="000C48E5">
        <w:rPr>
          <w:rFonts w:ascii="Arial" w:hAnsi="Arial" w:cs="Arial"/>
        </w:rPr>
        <w:t xml:space="preserve"> </w:t>
      </w:r>
      <w:r w:rsidR="00465F74" w:rsidRPr="000C48E5">
        <w:rPr>
          <w:rFonts w:ascii="Arial" w:hAnsi="Arial" w:cs="Arial"/>
        </w:rPr>
        <w:t xml:space="preserve">N° </w:t>
      </w:r>
      <w:r w:rsidRPr="000C48E5">
        <w:rPr>
          <w:rFonts w:ascii="Arial" w:hAnsi="Arial" w:cs="Arial"/>
        </w:rPr>
        <w:t>018-MINSA</w:t>
      </w:r>
      <w:r w:rsidR="00CA643D" w:rsidRPr="000C48E5">
        <w:rPr>
          <w:rFonts w:ascii="Arial" w:hAnsi="Arial" w:cs="Arial"/>
        </w:rPr>
        <w:t xml:space="preserve">, </w:t>
      </w:r>
      <w:r w:rsidR="0032652A" w:rsidRPr="000C48E5">
        <w:rPr>
          <w:rFonts w:ascii="Arial" w:hAnsi="Arial" w:cs="Arial"/>
        </w:rPr>
        <w:t xml:space="preserve"> N</w:t>
      </w:r>
      <w:r w:rsidR="00465F74" w:rsidRPr="000C48E5">
        <w:rPr>
          <w:rFonts w:ascii="Arial" w:hAnsi="Arial" w:cs="Arial"/>
        </w:rPr>
        <w:t>orma técnica</w:t>
      </w:r>
      <w:r w:rsidR="0032652A" w:rsidRPr="000C48E5">
        <w:rPr>
          <w:rFonts w:ascii="Arial" w:hAnsi="Arial" w:cs="Arial"/>
        </w:rPr>
        <w:t xml:space="preserve">  del sistema de Referencia y Contrarreferencia</w:t>
      </w:r>
      <w:r w:rsidR="00465F74" w:rsidRPr="000C48E5">
        <w:rPr>
          <w:rFonts w:ascii="Arial" w:hAnsi="Arial" w:cs="Arial"/>
        </w:rPr>
        <w:t xml:space="preserve"> de los establecimientos del Ministerio de Salud.</w:t>
      </w:r>
    </w:p>
    <w:p w14:paraId="1C435E04" w14:textId="77777777" w:rsidR="003F6D0C" w:rsidRPr="003F6D0C" w:rsidRDefault="003F6D0C" w:rsidP="003F6D0C">
      <w:pPr>
        <w:spacing w:after="0" w:line="360" w:lineRule="auto"/>
        <w:jc w:val="both"/>
        <w:rPr>
          <w:rFonts w:ascii="Arial" w:hAnsi="Arial" w:cs="Arial"/>
        </w:rPr>
      </w:pPr>
    </w:p>
    <w:p w14:paraId="5F7A8882" w14:textId="77777777" w:rsidR="009B17B3" w:rsidRPr="00CE6956" w:rsidRDefault="009B17B3" w:rsidP="009B17B3">
      <w:pPr>
        <w:spacing w:after="0" w:line="360" w:lineRule="auto"/>
        <w:jc w:val="both"/>
        <w:rPr>
          <w:rFonts w:ascii="Arial" w:hAnsi="Arial" w:cs="Arial"/>
        </w:rPr>
      </w:pPr>
    </w:p>
    <w:p w14:paraId="7AD3C0E2" w14:textId="77777777" w:rsidR="009B17B3" w:rsidRPr="00DE3449" w:rsidRDefault="009B17B3" w:rsidP="009B17B3">
      <w:pPr>
        <w:spacing w:after="0" w:line="360" w:lineRule="auto"/>
        <w:jc w:val="both"/>
        <w:rPr>
          <w:rFonts w:ascii="Arial" w:hAnsi="Arial" w:cs="Arial"/>
          <w:b/>
        </w:rPr>
      </w:pPr>
      <w:r w:rsidRPr="00DE3449">
        <w:rPr>
          <w:rFonts w:ascii="Arial" w:hAnsi="Arial" w:cs="Arial"/>
          <w:b/>
        </w:rPr>
        <w:lastRenderedPageBreak/>
        <w:t>IV. Disposiciones generales (definiciones y otros pertinentes)</w:t>
      </w:r>
    </w:p>
    <w:p w14:paraId="289BA041" w14:textId="77777777" w:rsidR="002A5999" w:rsidRPr="00D50FAC" w:rsidRDefault="002A5999" w:rsidP="002A5999">
      <w:pPr>
        <w:spacing w:after="0" w:line="360" w:lineRule="auto"/>
        <w:jc w:val="both"/>
        <w:rPr>
          <w:rFonts w:ascii="Arial" w:hAnsi="Arial" w:cs="Arial"/>
          <w:b/>
        </w:rPr>
      </w:pPr>
      <w:r w:rsidRPr="00D50FAC">
        <w:rPr>
          <w:rFonts w:ascii="Arial" w:hAnsi="Arial" w:cs="Arial"/>
          <w:b/>
        </w:rPr>
        <w:t>5.1. Definiciones operativas</w:t>
      </w:r>
    </w:p>
    <w:p w14:paraId="755FA4B8" w14:textId="77777777" w:rsidR="00D16484" w:rsidRDefault="00D16484" w:rsidP="002A5999">
      <w:pPr>
        <w:spacing w:after="0" w:line="360" w:lineRule="auto"/>
        <w:jc w:val="both"/>
        <w:rPr>
          <w:rFonts w:ascii="Arial" w:hAnsi="Arial" w:cs="Arial"/>
        </w:rPr>
      </w:pPr>
    </w:p>
    <w:p w14:paraId="4CF32345" w14:textId="2A71A373" w:rsidR="003E6DD8" w:rsidRDefault="003E6DD8" w:rsidP="003E6DD8">
      <w:pPr>
        <w:pStyle w:val="Prrafodelista"/>
        <w:numPr>
          <w:ilvl w:val="0"/>
          <w:numId w:val="3"/>
        </w:numPr>
        <w:spacing w:after="0" w:line="360" w:lineRule="auto"/>
        <w:jc w:val="both"/>
        <w:rPr>
          <w:rFonts w:ascii="Arial" w:hAnsi="Arial" w:cs="Arial"/>
        </w:rPr>
      </w:pPr>
      <w:r>
        <w:rPr>
          <w:rFonts w:ascii="Arial" w:hAnsi="Arial" w:cs="Arial"/>
        </w:rPr>
        <w:t xml:space="preserve">Talla baja. Aquella talla que </w:t>
      </w:r>
      <w:r w:rsidR="000223B8">
        <w:rPr>
          <w:rFonts w:ascii="Arial" w:hAnsi="Arial" w:cs="Arial"/>
        </w:rPr>
        <w:t xml:space="preserve">sea igual o menor a </w:t>
      </w:r>
      <w:r>
        <w:rPr>
          <w:rFonts w:ascii="Arial" w:hAnsi="Arial" w:cs="Arial"/>
        </w:rPr>
        <w:t>-</w:t>
      </w:r>
      <w:r w:rsidRPr="003E6DD8">
        <w:rPr>
          <w:rFonts w:ascii="Arial" w:hAnsi="Arial" w:cs="Arial"/>
        </w:rPr>
        <w:t>2 desviaciones estándar por debajo de la media</w:t>
      </w:r>
      <w:r>
        <w:rPr>
          <w:rFonts w:ascii="Arial" w:hAnsi="Arial" w:cs="Arial"/>
        </w:rPr>
        <w:t xml:space="preserve"> </w:t>
      </w:r>
      <w:r w:rsidRPr="00891252">
        <w:rPr>
          <w:rFonts w:ascii="Arial" w:hAnsi="Arial" w:cs="Arial"/>
        </w:rPr>
        <w:t>para edad y sexo, según la Organización mundial de la Salud (OMS)</w:t>
      </w:r>
      <w:r w:rsidR="00730D6F">
        <w:rPr>
          <w:rFonts w:ascii="Arial" w:hAnsi="Arial" w:cs="Arial"/>
        </w:rPr>
        <w:t xml:space="preserve"> </w:t>
      </w:r>
      <w:r w:rsidR="00730D6F" w:rsidRPr="00730D6F">
        <w:rPr>
          <w:rFonts w:ascii="Arial" w:hAnsi="Arial" w:cs="Arial"/>
          <w:highlight w:val="yellow"/>
        </w:rPr>
        <w:t>y CDC</w:t>
      </w:r>
      <w:r w:rsidR="000223B8">
        <w:rPr>
          <w:rFonts w:ascii="Arial" w:hAnsi="Arial" w:cs="Arial"/>
        </w:rPr>
        <w:t>.</w:t>
      </w:r>
    </w:p>
    <w:p w14:paraId="5B73EFA6" w14:textId="77777777" w:rsidR="000223B8" w:rsidRDefault="000223B8" w:rsidP="000223B8">
      <w:pPr>
        <w:pStyle w:val="Prrafodelista"/>
        <w:spacing w:after="0" w:line="360" w:lineRule="auto"/>
        <w:jc w:val="both"/>
        <w:rPr>
          <w:rFonts w:ascii="Arial" w:hAnsi="Arial" w:cs="Arial"/>
        </w:rPr>
      </w:pPr>
    </w:p>
    <w:p w14:paraId="713F0F24" w14:textId="4E6E0CE3" w:rsidR="00B8007B" w:rsidRDefault="002A5999" w:rsidP="00891252">
      <w:pPr>
        <w:pStyle w:val="Prrafodelista"/>
        <w:numPr>
          <w:ilvl w:val="0"/>
          <w:numId w:val="3"/>
        </w:numPr>
        <w:spacing w:after="0" w:line="360" w:lineRule="auto"/>
        <w:jc w:val="both"/>
        <w:rPr>
          <w:rFonts w:ascii="Arial" w:hAnsi="Arial" w:cs="Arial"/>
        </w:rPr>
      </w:pPr>
      <w:r w:rsidRPr="00891252">
        <w:rPr>
          <w:rFonts w:ascii="Arial" w:hAnsi="Arial" w:cs="Arial"/>
        </w:rPr>
        <w:t>Talla baja extrema</w:t>
      </w:r>
      <w:r w:rsidR="005C601C" w:rsidRPr="00891252">
        <w:rPr>
          <w:rFonts w:ascii="Arial" w:hAnsi="Arial" w:cs="Arial"/>
        </w:rPr>
        <w:t>. Aquella talla</w:t>
      </w:r>
      <w:r w:rsidR="00537B06" w:rsidRPr="00891252">
        <w:rPr>
          <w:rFonts w:ascii="Arial" w:hAnsi="Arial" w:cs="Arial"/>
        </w:rPr>
        <w:t xml:space="preserve"> para la </w:t>
      </w:r>
      <w:r w:rsidR="005C601C" w:rsidRPr="00891252">
        <w:rPr>
          <w:rFonts w:ascii="Arial" w:hAnsi="Arial" w:cs="Arial"/>
        </w:rPr>
        <w:t xml:space="preserve">edad que se encuentra por debajo de </w:t>
      </w:r>
      <w:r w:rsidR="00812D31">
        <w:rPr>
          <w:rFonts w:ascii="Arial" w:hAnsi="Arial" w:cs="Arial"/>
        </w:rPr>
        <w:t xml:space="preserve">  </w:t>
      </w:r>
      <w:r w:rsidR="005C601C" w:rsidRPr="00891252">
        <w:rPr>
          <w:rFonts w:ascii="Arial" w:hAnsi="Arial" w:cs="Arial"/>
        </w:rPr>
        <w:t>-3 desviaciones estándar por debajo de la media para edad y sexo</w:t>
      </w:r>
      <w:r w:rsidR="00AB5149" w:rsidRPr="00891252">
        <w:rPr>
          <w:rFonts w:ascii="Arial" w:hAnsi="Arial" w:cs="Arial"/>
        </w:rPr>
        <w:t>, según la O</w:t>
      </w:r>
      <w:r w:rsidR="00491237" w:rsidRPr="00891252">
        <w:rPr>
          <w:rFonts w:ascii="Arial" w:hAnsi="Arial" w:cs="Arial"/>
        </w:rPr>
        <w:t>rganización mundial de la Salud (OMS)</w:t>
      </w:r>
      <w:r w:rsidR="00AB5149" w:rsidRPr="00891252">
        <w:rPr>
          <w:rFonts w:ascii="Arial" w:hAnsi="Arial" w:cs="Arial"/>
        </w:rPr>
        <w:t xml:space="preserve">. </w:t>
      </w:r>
      <w:r w:rsidR="00915CFC">
        <w:rPr>
          <w:rFonts w:ascii="Arial" w:hAnsi="Arial" w:cs="Arial"/>
        </w:rPr>
        <w:t>En adultos se considerará una talla menor o igual 1.56</w:t>
      </w:r>
      <w:r w:rsidR="00E33028">
        <w:rPr>
          <w:rFonts w:ascii="Arial" w:hAnsi="Arial" w:cs="Arial"/>
        </w:rPr>
        <w:t>m para varones, y 1.45m</w:t>
      </w:r>
      <w:r w:rsidR="00617631">
        <w:rPr>
          <w:rFonts w:ascii="Arial" w:hAnsi="Arial" w:cs="Arial"/>
        </w:rPr>
        <w:t xml:space="preserve"> para mujeres.</w:t>
      </w:r>
    </w:p>
    <w:p w14:paraId="1B34D24A" w14:textId="77777777" w:rsidR="005A44F3" w:rsidRPr="005F64A5" w:rsidRDefault="005A44F3" w:rsidP="002A5999">
      <w:pPr>
        <w:spacing w:after="0" w:line="360" w:lineRule="auto"/>
        <w:jc w:val="both"/>
        <w:rPr>
          <w:rFonts w:ascii="Arial" w:hAnsi="Arial" w:cs="Arial"/>
        </w:rPr>
      </w:pPr>
    </w:p>
    <w:p w14:paraId="05B94E07" w14:textId="0012CE98" w:rsidR="00537B06" w:rsidRDefault="002A5999" w:rsidP="00D0090A">
      <w:pPr>
        <w:pStyle w:val="Prrafodelista"/>
        <w:numPr>
          <w:ilvl w:val="0"/>
          <w:numId w:val="3"/>
        </w:numPr>
        <w:spacing w:after="0" w:line="360" w:lineRule="auto"/>
        <w:jc w:val="both"/>
        <w:rPr>
          <w:rFonts w:ascii="Arial" w:hAnsi="Arial" w:cs="Arial"/>
        </w:rPr>
      </w:pPr>
      <w:r w:rsidRPr="00C53A07">
        <w:rPr>
          <w:rFonts w:ascii="Arial" w:hAnsi="Arial" w:cs="Arial"/>
        </w:rPr>
        <w:t>Talla baja sindrómica</w:t>
      </w:r>
      <w:r w:rsidR="005A44F3" w:rsidRPr="00C53A07">
        <w:rPr>
          <w:rFonts w:ascii="Arial" w:hAnsi="Arial" w:cs="Arial"/>
        </w:rPr>
        <w:t xml:space="preserve">. </w:t>
      </w:r>
      <w:r w:rsidR="00537B06" w:rsidRPr="00C53A07">
        <w:rPr>
          <w:rFonts w:ascii="Arial" w:hAnsi="Arial" w:cs="Arial"/>
        </w:rPr>
        <w:t>Aquella talla para la edad que se encuentra por debajo de -2 desviaciones estándar por debajo de la media para edad y sexo, según la Organización mundial de la Salud (OMS), y que se asocie a otras m</w:t>
      </w:r>
      <w:r w:rsidR="00C53A07" w:rsidRPr="00C53A07">
        <w:rPr>
          <w:rFonts w:ascii="Arial" w:hAnsi="Arial" w:cs="Arial"/>
        </w:rPr>
        <w:t>anifestaciones multisistémicas.</w:t>
      </w:r>
    </w:p>
    <w:p w14:paraId="32B2851B" w14:textId="77777777" w:rsidR="00C53A07" w:rsidRPr="00C53A07" w:rsidRDefault="00C53A07" w:rsidP="00C53A07">
      <w:pPr>
        <w:pStyle w:val="Prrafodelista"/>
        <w:spacing w:after="0" w:line="360" w:lineRule="auto"/>
        <w:jc w:val="both"/>
        <w:rPr>
          <w:rFonts w:ascii="Arial" w:hAnsi="Arial" w:cs="Arial"/>
        </w:rPr>
      </w:pPr>
    </w:p>
    <w:p w14:paraId="30F30EAD" w14:textId="77777777" w:rsidR="002A5999" w:rsidRPr="00891252" w:rsidRDefault="002A5999" w:rsidP="00891252">
      <w:pPr>
        <w:pStyle w:val="Prrafodelista"/>
        <w:numPr>
          <w:ilvl w:val="0"/>
          <w:numId w:val="3"/>
        </w:numPr>
        <w:spacing w:after="0" w:line="360" w:lineRule="auto"/>
        <w:jc w:val="both"/>
        <w:rPr>
          <w:rFonts w:ascii="Arial" w:hAnsi="Arial" w:cs="Arial"/>
        </w:rPr>
      </w:pPr>
      <w:r w:rsidRPr="00891252">
        <w:rPr>
          <w:rFonts w:ascii="Arial" w:hAnsi="Arial" w:cs="Arial"/>
        </w:rPr>
        <w:t>Discapacidad</w:t>
      </w:r>
      <w:r w:rsidR="007A4504" w:rsidRPr="00891252">
        <w:rPr>
          <w:rFonts w:ascii="Arial" w:hAnsi="Arial" w:cs="Arial"/>
        </w:rPr>
        <w:t xml:space="preserve">. </w:t>
      </w:r>
      <w:r w:rsidR="00D16484" w:rsidRPr="00891252">
        <w:rPr>
          <w:rFonts w:ascii="Arial" w:hAnsi="Arial" w:cs="Arial"/>
        </w:rPr>
        <w:t xml:space="preserve">Término genérico que abarca deficiencias, limitación en la actividad y restricción en la participación. </w:t>
      </w:r>
    </w:p>
    <w:p w14:paraId="7786DC29" w14:textId="77777777" w:rsidR="007A4504" w:rsidRPr="005F64A5" w:rsidRDefault="007A4504" w:rsidP="002A5999">
      <w:pPr>
        <w:spacing w:after="0" w:line="360" w:lineRule="auto"/>
        <w:jc w:val="both"/>
        <w:rPr>
          <w:rFonts w:ascii="Arial" w:hAnsi="Arial" w:cs="Arial"/>
        </w:rPr>
      </w:pPr>
    </w:p>
    <w:p w14:paraId="0BB8FE85" w14:textId="77777777" w:rsidR="002A5999" w:rsidRPr="00891252" w:rsidRDefault="002A5999" w:rsidP="00891252">
      <w:pPr>
        <w:pStyle w:val="Prrafodelista"/>
        <w:numPr>
          <w:ilvl w:val="0"/>
          <w:numId w:val="3"/>
        </w:numPr>
        <w:spacing w:after="0" w:line="360" w:lineRule="auto"/>
        <w:jc w:val="both"/>
        <w:rPr>
          <w:rFonts w:ascii="Arial" w:hAnsi="Arial" w:cs="Arial"/>
        </w:rPr>
      </w:pPr>
      <w:r w:rsidRPr="00891252">
        <w:rPr>
          <w:rFonts w:ascii="Arial" w:hAnsi="Arial" w:cs="Arial"/>
        </w:rPr>
        <w:t>Persona con discapacidad</w:t>
      </w:r>
      <w:r w:rsidR="004640D3" w:rsidRPr="00891252">
        <w:rPr>
          <w:rFonts w:ascii="Arial" w:hAnsi="Arial" w:cs="Arial"/>
        </w:rPr>
        <w:t>. Es aquella que tiene una o más deficiencias físicas, sensoriales mentales o intelectuales de carácter permanente que, al interactuar con diversas barreras actitudinales y del entorno, no ejerza o pueda verse impedida en el ejercicio de sus derechos y su inclusión plena y efectiva en la sociedad, en igualdad de condiciones que las demás.</w:t>
      </w:r>
    </w:p>
    <w:p w14:paraId="5308DDE7" w14:textId="77777777" w:rsidR="00D16484" w:rsidRDefault="00D16484" w:rsidP="002A5999">
      <w:pPr>
        <w:spacing w:after="0" w:line="360" w:lineRule="auto"/>
        <w:jc w:val="both"/>
        <w:rPr>
          <w:rFonts w:ascii="Arial" w:hAnsi="Arial" w:cs="Arial"/>
        </w:rPr>
      </w:pPr>
    </w:p>
    <w:p w14:paraId="1635B97E" w14:textId="67FE626F" w:rsidR="00D16484" w:rsidRPr="00891252" w:rsidRDefault="00D16484" w:rsidP="00891252">
      <w:pPr>
        <w:pStyle w:val="Prrafodelista"/>
        <w:numPr>
          <w:ilvl w:val="0"/>
          <w:numId w:val="3"/>
        </w:numPr>
        <w:spacing w:after="0" w:line="360" w:lineRule="auto"/>
        <w:jc w:val="both"/>
        <w:rPr>
          <w:rFonts w:ascii="Arial" w:hAnsi="Arial" w:cs="Arial"/>
        </w:rPr>
      </w:pPr>
      <w:bookmarkStart w:id="1" w:name="_Hlk9848446"/>
      <w:r w:rsidRPr="00717C4A">
        <w:rPr>
          <w:rFonts w:ascii="Arial" w:hAnsi="Arial" w:cs="Arial"/>
        </w:rPr>
        <w:t>Talla baja como condición de salud que genera discapacidad.</w:t>
      </w:r>
      <w:r w:rsidRPr="004A7EA9">
        <w:rPr>
          <w:rFonts w:ascii="Arial" w:hAnsi="Arial" w:cs="Arial"/>
        </w:rPr>
        <w:t xml:space="preserve"> </w:t>
      </w:r>
      <w:r w:rsidR="00B930B6">
        <w:rPr>
          <w:rFonts w:ascii="Arial" w:hAnsi="Arial" w:cs="Arial"/>
        </w:rPr>
        <w:t xml:space="preserve">Es aquella que presenta deficiencias, limitación en la actividad, y que al interactuar con diversas barreras actitudinales y del entorno, no ejerza o pueda verse impedida en el ejercicio de sus derechos, en igualdad de condiciones que los demás, lo cual </w:t>
      </w:r>
      <w:r w:rsidR="003C103D">
        <w:rPr>
          <w:rFonts w:ascii="Arial" w:hAnsi="Arial" w:cs="Arial"/>
        </w:rPr>
        <w:t xml:space="preserve"> </w:t>
      </w:r>
      <w:r w:rsidR="00B930B6">
        <w:rPr>
          <w:rFonts w:ascii="Arial" w:hAnsi="Arial" w:cs="Arial"/>
        </w:rPr>
        <w:t>genera restricción en la participación.</w:t>
      </w:r>
    </w:p>
    <w:p w14:paraId="2619D0B2" w14:textId="77777777" w:rsidR="002A5999" w:rsidRDefault="002A5999" w:rsidP="009B17B3">
      <w:pPr>
        <w:spacing w:after="0" w:line="360" w:lineRule="auto"/>
        <w:jc w:val="both"/>
        <w:rPr>
          <w:rFonts w:ascii="Arial" w:hAnsi="Arial" w:cs="Arial"/>
        </w:rPr>
      </w:pPr>
    </w:p>
    <w:p w14:paraId="4767FFCD" w14:textId="77777777" w:rsidR="004E4515" w:rsidRDefault="00AA0E00" w:rsidP="009B17B3">
      <w:pPr>
        <w:spacing w:after="0" w:line="360" w:lineRule="auto"/>
        <w:jc w:val="both"/>
        <w:rPr>
          <w:rFonts w:ascii="Arial" w:hAnsi="Arial" w:cs="Arial"/>
        </w:rPr>
      </w:pPr>
      <w:r>
        <w:rPr>
          <w:rFonts w:ascii="Arial" w:hAnsi="Arial" w:cs="Arial"/>
        </w:rPr>
        <w:t>5.</w:t>
      </w:r>
      <w:r w:rsidR="002A5999">
        <w:rPr>
          <w:rFonts w:ascii="Arial" w:hAnsi="Arial" w:cs="Arial"/>
        </w:rPr>
        <w:t>2</w:t>
      </w:r>
      <w:r w:rsidR="004E4515">
        <w:rPr>
          <w:rFonts w:ascii="Arial" w:hAnsi="Arial" w:cs="Arial"/>
        </w:rPr>
        <w:t>. Definiciones clínicas</w:t>
      </w:r>
      <w:r w:rsidR="0012594A">
        <w:rPr>
          <w:rFonts w:ascii="Arial" w:hAnsi="Arial" w:cs="Arial"/>
        </w:rPr>
        <w:t>. Serán consideradas las siguientes definiciones clínicas, siempre y cuando estén asociadas a talla baja extrema.</w:t>
      </w:r>
    </w:p>
    <w:p w14:paraId="7BCD2BB8" w14:textId="77777777" w:rsidR="0012594A" w:rsidRDefault="0012594A" w:rsidP="009B17B3">
      <w:pPr>
        <w:spacing w:after="0" w:line="360" w:lineRule="auto"/>
        <w:jc w:val="both"/>
        <w:rPr>
          <w:rFonts w:ascii="Arial" w:hAnsi="Arial" w:cs="Arial"/>
        </w:rPr>
      </w:pPr>
    </w:p>
    <w:p w14:paraId="0913204B" w14:textId="77777777" w:rsidR="004E4515" w:rsidRPr="00061D70" w:rsidRDefault="0045630E" w:rsidP="00891252">
      <w:pPr>
        <w:pStyle w:val="Prrafodelista"/>
        <w:numPr>
          <w:ilvl w:val="0"/>
          <w:numId w:val="4"/>
        </w:numPr>
        <w:spacing w:after="0" w:line="360" w:lineRule="auto"/>
        <w:jc w:val="both"/>
        <w:rPr>
          <w:rFonts w:ascii="Arial" w:hAnsi="Arial" w:cs="Arial"/>
          <w:color w:val="7030A0"/>
        </w:rPr>
      </w:pPr>
      <w:r w:rsidRPr="00061D70">
        <w:rPr>
          <w:rFonts w:ascii="Arial" w:hAnsi="Arial" w:cs="Arial"/>
        </w:rPr>
        <w:lastRenderedPageBreak/>
        <w:t>Displasias esqueléticas</w:t>
      </w:r>
      <w:r w:rsidR="0012594A" w:rsidRPr="00061D70">
        <w:rPr>
          <w:rFonts w:ascii="Arial" w:hAnsi="Arial" w:cs="Arial"/>
        </w:rPr>
        <w:t>.</w:t>
      </w:r>
      <w:r w:rsidR="00565636" w:rsidRPr="00061D70">
        <w:rPr>
          <w:rFonts w:ascii="Arial" w:hAnsi="Arial" w:cs="Arial"/>
        </w:rPr>
        <w:t xml:space="preserve"> </w:t>
      </w:r>
      <w:r w:rsidR="006838F1" w:rsidRPr="00061D70">
        <w:rPr>
          <w:rFonts w:ascii="Arial" w:hAnsi="Arial" w:cs="Arial"/>
        </w:rPr>
        <w:t>Grupo heterogéneo amplio de entidades nosológicas de base genética en la que se dan cita un crecimiento anormal, acompañado de alteraciones en el desarrollo y diferenciación del hueso y del cartílago</w:t>
      </w:r>
      <w:r w:rsidR="0012594A" w:rsidRPr="00061D70">
        <w:rPr>
          <w:rFonts w:ascii="Arial" w:hAnsi="Arial" w:cs="Arial"/>
        </w:rPr>
        <w:t>.</w:t>
      </w:r>
    </w:p>
    <w:p w14:paraId="3DCA86D5" w14:textId="77777777" w:rsidR="00565636" w:rsidRPr="00061D70" w:rsidRDefault="00565636" w:rsidP="00565636">
      <w:pPr>
        <w:spacing w:after="0" w:line="360" w:lineRule="auto"/>
        <w:jc w:val="both"/>
        <w:rPr>
          <w:rFonts w:ascii="Arial" w:hAnsi="Arial" w:cs="Arial"/>
        </w:rPr>
      </w:pPr>
    </w:p>
    <w:p w14:paraId="1DA36BF4" w14:textId="77777777" w:rsidR="007069D8" w:rsidRPr="00061D70" w:rsidRDefault="009A0607" w:rsidP="00891252">
      <w:pPr>
        <w:pStyle w:val="Prrafodelista"/>
        <w:numPr>
          <w:ilvl w:val="0"/>
          <w:numId w:val="4"/>
        </w:numPr>
        <w:spacing w:after="0" w:line="360" w:lineRule="auto"/>
        <w:jc w:val="both"/>
        <w:rPr>
          <w:rFonts w:ascii="Arial" w:hAnsi="Arial" w:cs="Arial"/>
        </w:rPr>
      </w:pPr>
      <w:r w:rsidRPr="00061D70">
        <w:rPr>
          <w:rFonts w:ascii="Arial" w:hAnsi="Arial" w:cs="Arial"/>
        </w:rPr>
        <w:t>Síndrome Turner</w:t>
      </w:r>
      <w:r w:rsidR="0012594A" w:rsidRPr="00061D70">
        <w:rPr>
          <w:rFonts w:ascii="Arial" w:hAnsi="Arial" w:cs="Arial"/>
        </w:rPr>
        <w:t>.</w:t>
      </w:r>
      <w:r w:rsidR="007069D8" w:rsidRPr="00061D70">
        <w:rPr>
          <w:rFonts w:ascii="Arial" w:hAnsi="Arial" w:cs="Arial"/>
        </w:rPr>
        <w:t xml:space="preserve"> Es </w:t>
      </w:r>
      <w:r w:rsidR="002A5999" w:rsidRPr="00061D70">
        <w:rPr>
          <w:rFonts w:ascii="Arial" w:hAnsi="Arial" w:cs="Arial"/>
        </w:rPr>
        <w:t xml:space="preserve">la manifestación clínica de </w:t>
      </w:r>
      <w:r w:rsidR="007069D8" w:rsidRPr="00061D70">
        <w:rPr>
          <w:rFonts w:ascii="Arial" w:hAnsi="Arial" w:cs="Arial"/>
        </w:rPr>
        <w:t xml:space="preserve">una alteración cromosómica que afecta a  mujeres, que tienen un cromosoma X intacto y la ausencia parcial o completa del segundo cromosoma sexual. </w:t>
      </w:r>
    </w:p>
    <w:p w14:paraId="21712990" w14:textId="77777777" w:rsidR="00565636" w:rsidRPr="00061D70" w:rsidRDefault="00565636" w:rsidP="00565636">
      <w:pPr>
        <w:spacing w:after="0" w:line="360" w:lineRule="auto"/>
        <w:jc w:val="both"/>
        <w:rPr>
          <w:rFonts w:ascii="Arial" w:hAnsi="Arial" w:cs="Arial"/>
          <w:color w:val="7030A0"/>
        </w:rPr>
      </w:pPr>
    </w:p>
    <w:p w14:paraId="0D543C74" w14:textId="77777777" w:rsidR="004650CF" w:rsidRPr="00891252" w:rsidRDefault="004650CF" w:rsidP="00891252">
      <w:pPr>
        <w:pStyle w:val="Prrafodelista"/>
        <w:numPr>
          <w:ilvl w:val="0"/>
          <w:numId w:val="4"/>
        </w:numPr>
        <w:spacing w:after="0" w:line="360" w:lineRule="auto"/>
        <w:jc w:val="both"/>
        <w:rPr>
          <w:rFonts w:ascii="Arial" w:hAnsi="Arial" w:cs="Arial"/>
        </w:rPr>
      </w:pPr>
      <w:r w:rsidRPr="00891252">
        <w:rPr>
          <w:rFonts w:ascii="Arial" w:hAnsi="Arial" w:cs="Arial"/>
        </w:rPr>
        <w:t xml:space="preserve">Trastornos hormonales, como hipotiroidismo congénito, hipopituitarismo, déficit aislado de hormona de crecimiento. </w:t>
      </w:r>
    </w:p>
    <w:p w14:paraId="739FD806" w14:textId="77777777" w:rsidR="004650CF" w:rsidRPr="00B62EDC" w:rsidRDefault="004650CF" w:rsidP="009B17B3">
      <w:pPr>
        <w:spacing w:after="0" w:line="360" w:lineRule="auto"/>
        <w:jc w:val="both"/>
        <w:rPr>
          <w:rFonts w:ascii="Arial" w:hAnsi="Arial" w:cs="Arial"/>
        </w:rPr>
      </w:pPr>
    </w:p>
    <w:p w14:paraId="562F4C9F" w14:textId="77777777" w:rsidR="005F64A5" w:rsidRPr="00891252" w:rsidRDefault="005F64A5" w:rsidP="00891252">
      <w:pPr>
        <w:pStyle w:val="Prrafodelista"/>
        <w:numPr>
          <w:ilvl w:val="0"/>
          <w:numId w:val="4"/>
        </w:numPr>
        <w:spacing w:after="0" w:line="360" w:lineRule="auto"/>
        <w:jc w:val="both"/>
        <w:rPr>
          <w:rFonts w:ascii="Arial" w:hAnsi="Arial" w:cs="Arial"/>
        </w:rPr>
      </w:pPr>
      <w:r w:rsidRPr="00891252">
        <w:rPr>
          <w:rFonts w:ascii="Arial" w:hAnsi="Arial" w:cs="Arial"/>
        </w:rPr>
        <w:t xml:space="preserve">Enfermedades </w:t>
      </w:r>
      <w:r w:rsidR="00713366" w:rsidRPr="00891252">
        <w:rPr>
          <w:rFonts w:ascii="Arial" w:hAnsi="Arial" w:cs="Arial"/>
        </w:rPr>
        <w:t>crónicas</w:t>
      </w:r>
      <w:r w:rsidR="004650CF" w:rsidRPr="00891252">
        <w:rPr>
          <w:rFonts w:ascii="Arial" w:hAnsi="Arial" w:cs="Arial"/>
        </w:rPr>
        <w:t xml:space="preserve">, como cardiopatías congénitas, enfermedad renal crónica, enfermedades gastrointestinales, hepatopatías crónicas, </w:t>
      </w:r>
      <w:r w:rsidR="004304B1" w:rsidRPr="00891252">
        <w:rPr>
          <w:rFonts w:ascii="Arial" w:hAnsi="Arial" w:cs="Arial"/>
        </w:rPr>
        <w:t>enfermedades hematológicas</w:t>
      </w:r>
      <w:r w:rsidR="00B62EDC" w:rsidRPr="00891252">
        <w:rPr>
          <w:rFonts w:ascii="Arial" w:hAnsi="Arial" w:cs="Arial"/>
        </w:rPr>
        <w:t xml:space="preserve"> e</w:t>
      </w:r>
      <w:r w:rsidR="004304B1" w:rsidRPr="00891252">
        <w:rPr>
          <w:rFonts w:ascii="Arial" w:hAnsi="Arial" w:cs="Arial"/>
        </w:rPr>
        <w:t xml:space="preserve"> </w:t>
      </w:r>
      <w:r w:rsidR="004650CF" w:rsidRPr="00891252">
        <w:rPr>
          <w:rFonts w:ascii="Arial" w:hAnsi="Arial" w:cs="Arial"/>
        </w:rPr>
        <w:t>inmunodeficiencia</w:t>
      </w:r>
      <w:r w:rsidR="004304B1" w:rsidRPr="00891252">
        <w:rPr>
          <w:rFonts w:ascii="Arial" w:hAnsi="Arial" w:cs="Arial"/>
        </w:rPr>
        <w:t>s primarias</w:t>
      </w:r>
      <w:r w:rsidR="00B62EDC" w:rsidRPr="00891252">
        <w:rPr>
          <w:rFonts w:ascii="Arial" w:hAnsi="Arial" w:cs="Arial"/>
        </w:rPr>
        <w:t>.</w:t>
      </w:r>
    </w:p>
    <w:p w14:paraId="6F9B6612" w14:textId="77777777" w:rsidR="009A0607" w:rsidRDefault="009A0607" w:rsidP="009B17B3">
      <w:pPr>
        <w:spacing w:after="0" w:line="360" w:lineRule="auto"/>
        <w:jc w:val="both"/>
        <w:rPr>
          <w:rFonts w:ascii="Arial" w:hAnsi="Arial" w:cs="Arial"/>
        </w:rPr>
      </w:pPr>
    </w:p>
    <w:p w14:paraId="37A7B979" w14:textId="77777777" w:rsidR="00A851CD" w:rsidRPr="00730D6F" w:rsidRDefault="00A851CD" w:rsidP="00A851CD">
      <w:pPr>
        <w:pStyle w:val="Prrafodelista"/>
        <w:numPr>
          <w:ilvl w:val="0"/>
          <w:numId w:val="4"/>
        </w:numPr>
        <w:spacing w:after="0" w:line="360" w:lineRule="auto"/>
        <w:jc w:val="both"/>
        <w:rPr>
          <w:rFonts w:ascii="Arial" w:hAnsi="Arial" w:cs="Arial"/>
          <w:lang w:val="es-ES"/>
        </w:rPr>
      </w:pPr>
      <w:r w:rsidRPr="00730D6F">
        <w:rPr>
          <w:rFonts w:ascii="Arial" w:hAnsi="Arial" w:cs="Arial"/>
          <w:lang w:val="es-ES"/>
        </w:rPr>
        <w:t xml:space="preserve">Otros síndromes genéticos, </w:t>
      </w:r>
      <w:commentRangeStart w:id="2"/>
      <w:r w:rsidRPr="00730D6F">
        <w:rPr>
          <w:rFonts w:ascii="Arial" w:hAnsi="Arial" w:cs="Arial"/>
          <w:lang w:val="es-ES"/>
        </w:rPr>
        <w:t>grupo de trastornos muy heterogéneos clínicamente y que dentro de sus manifestaciones clínicas se observa talla baja, de etiología genética (que pueden ser variantes monogénicas o variantes en el número de copias, disomías uniparentales) y de herencia variable (dominante o recesivo</w:t>
      </w:r>
      <w:commentRangeEnd w:id="2"/>
      <w:r w:rsidRPr="00730D6F">
        <w:rPr>
          <w:rStyle w:val="Refdecomentario"/>
        </w:rPr>
        <w:commentReference w:id="2"/>
      </w:r>
      <w:r w:rsidRPr="00730D6F">
        <w:rPr>
          <w:rFonts w:ascii="Arial" w:hAnsi="Arial" w:cs="Arial"/>
          <w:lang w:val="es-ES"/>
        </w:rPr>
        <w:t>):</w:t>
      </w:r>
      <w:commentRangeStart w:id="3"/>
      <w:r w:rsidRPr="00730D6F">
        <w:rPr>
          <w:rFonts w:ascii="Arial" w:hAnsi="Arial" w:cs="Arial"/>
          <w:lang w:val="es-ES"/>
        </w:rPr>
        <w:t xml:space="preserve"> Algunos de los síndromes frecuentes son: síndrome Noonan, síndrome Prader-Willi, síndrome Cornelia de Lange, Sindrome Silver-Russell, síndrome de deleción 22q11.</w:t>
      </w:r>
      <w:commentRangeEnd w:id="3"/>
      <w:r w:rsidRPr="00730D6F">
        <w:rPr>
          <w:rStyle w:val="Refdecomentario"/>
        </w:rPr>
        <w:commentReference w:id="3"/>
      </w:r>
    </w:p>
    <w:p w14:paraId="38833764" w14:textId="77777777" w:rsidR="00A851CD" w:rsidRPr="00730D6F" w:rsidRDefault="00A851CD" w:rsidP="00A851CD">
      <w:pPr>
        <w:spacing w:after="0" w:line="360" w:lineRule="auto"/>
        <w:jc w:val="both"/>
        <w:rPr>
          <w:rFonts w:ascii="Arial" w:hAnsi="Arial" w:cs="Arial"/>
          <w:lang w:val="es-ES"/>
        </w:rPr>
      </w:pPr>
    </w:p>
    <w:p w14:paraId="1CF0C867" w14:textId="77777777" w:rsidR="00A851CD" w:rsidRPr="00730D6F" w:rsidRDefault="00A851CD" w:rsidP="00A851CD">
      <w:pPr>
        <w:pStyle w:val="Prrafodelista"/>
        <w:numPr>
          <w:ilvl w:val="0"/>
          <w:numId w:val="4"/>
        </w:numPr>
        <w:spacing w:after="0" w:line="360" w:lineRule="auto"/>
        <w:jc w:val="both"/>
        <w:rPr>
          <w:rFonts w:ascii="Arial" w:hAnsi="Arial" w:cs="Arial"/>
          <w:lang w:val="es-ES"/>
        </w:rPr>
      </w:pPr>
      <w:commentRangeStart w:id="4"/>
      <w:r w:rsidRPr="00730D6F">
        <w:rPr>
          <w:rFonts w:ascii="Arial" w:hAnsi="Arial" w:cs="Arial"/>
          <w:lang w:val="es-ES"/>
        </w:rPr>
        <w:t xml:space="preserve">Desnutrición crónica. Desbalance nutricional provocado por un insuficiente aporte de nutrientes, durante un periodo mayor a tres meses. </w:t>
      </w:r>
      <w:commentRangeEnd w:id="4"/>
      <w:r w:rsidRPr="00730D6F">
        <w:rPr>
          <w:rStyle w:val="Refdecomentario"/>
        </w:rPr>
        <w:commentReference w:id="4"/>
      </w:r>
    </w:p>
    <w:p w14:paraId="5C44DF6C" w14:textId="77777777" w:rsidR="007815AC" w:rsidRPr="00A851CD" w:rsidRDefault="007815AC" w:rsidP="009B17B3">
      <w:pPr>
        <w:spacing w:after="0" w:line="360" w:lineRule="auto"/>
        <w:jc w:val="both"/>
        <w:rPr>
          <w:rFonts w:ascii="Arial" w:hAnsi="Arial" w:cs="Arial"/>
          <w:lang w:val="es-ES"/>
        </w:rPr>
      </w:pPr>
    </w:p>
    <w:p w14:paraId="593C216D" w14:textId="77777777" w:rsidR="009B17B3" w:rsidRPr="00CE6956" w:rsidRDefault="009B17B3" w:rsidP="009B17B3">
      <w:pPr>
        <w:spacing w:after="0" w:line="360" w:lineRule="auto"/>
        <w:jc w:val="both"/>
        <w:rPr>
          <w:rFonts w:ascii="Arial" w:hAnsi="Arial" w:cs="Arial"/>
        </w:rPr>
      </w:pPr>
    </w:p>
    <w:p w14:paraId="72DB41B7" w14:textId="77777777" w:rsidR="009B17B3" w:rsidRPr="00DE3449" w:rsidRDefault="009B17B3" w:rsidP="009B17B3">
      <w:pPr>
        <w:spacing w:after="0" w:line="360" w:lineRule="auto"/>
        <w:jc w:val="both"/>
        <w:rPr>
          <w:rFonts w:ascii="Arial" w:hAnsi="Arial" w:cs="Arial"/>
          <w:b/>
        </w:rPr>
      </w:pPr>
      <w:r w:rsidRPr="00DE3449">
        <w:rPr>
          <w:rFonts w:ascii="Arial" w:hAnsi="Arial" w:cs="Arial"/>
          <w:b/>
        </w:rPr>
        <w:t>V. Disposiciones específicas</w:t>
      </w:r>
    </w:p>
    <w:p w14:paraId="6074F1A1" w14:textId="77777777" w:rsidR="008F2A42" w:rsidRDefault="002968BA" w:rsidP="009B17B3">
      <w:pPr>
        <w:spacing w:after="0" w:line="360" w:lineRule="auto"/>
        <w:jc w:val="both"/>
        <w:rPr>
          <w:rFonts w:ascii="Arial" w:hAnsi="Arial" w:cs="Arial"/>
        </w:rPr>
      </w:pPr>
      <w:r>
        <w:rPr>
          <w:rFonts w:ascii="Arial" w:hAnsi="Arial" w:cs="Arial"/>
        </w:rPr>
        <w:t>5.1.</w:t>
      </w:r>
      <w:r w:rsidR="008F2A42">
        <w:rPr>
          <w:rFonts w:ascii="Arial" w:hAnsi="Arial" w:cs="Arial"/>
        </w:rPr>
        <w:t xml:space="preserve"> Promoción</w:t>
      </w:r>
      <w:r>
        <w:rPr>
          <w:rFonts w:ascii="Arial" w:hAnsi="Arial" w:cs="Arial"/>
        </w:rPr>
        <w:t xml:space="preserve"> </w:t>
      </w:r>
    </w:p>
    <w:p w14:paraId="016699EA" w14:textId="2625E310" w:rsidR="008D7411" w:rsidRDefault="00C11992" w:rsidP="009B17B3">
      <w:pPr>
        <w:spacing w:after="0" w:line="360" w:lineRule="auto"/>
        <w:jc w:val="both"/>
        <w:rPr>
          <w:rFonts w:ascii="Arial" w:hAnsi="Arial" w:cs="Arial"/>
          <w:color w:val="7030A0"/>
        </w:rPr>
      </w:pPr>
      <w:r w:rsidRPr="00CE27D0">
        <w:rPr>
          <w:rFonts w:ascii="Arial" w:hAnsi="Arial" w:cs="Arial"/>
          <w:color w:val="7030A0"/>
          <w:highlight w:val="yellow"/>
        </w:rPr>
        <w:t xml:space="preserve">El profesional de la salud </w:t>
      </w:r>
      <w:r w:rsidR="00D10D00" w:rsidRPr="00CE27D0">
        <w:rPr>
          <w:rFonts w:ascii="Arial" w:hAnsi="Arial" w:cs="Arial"/>
          <w:color w:val="7030A0"/>
          <w:highlight w:val="yellow"/>
        </w:rPr>
        <w:t>generará campañas de promoción de la salud para influir positivamente en la salud de los individuos, comunidades y poblaci</w:t>
      </w:r>
      <w:r w:rsidR="00CE27D0" w:rsidRPr="00CE27D0">
        <w:rPr>
          <w:rFonts w:ascii="Arial" w:hAnsi="Arial" w:cs="Arial"/>
          <w:color w:val="7030A0"/>
          <w:highlight w:val="yellow"/>
        </w:rPr>
        <w:t>ones, a fin de cuidar la salud.</w:t>
      </w:r>
      <w:r w:rsidR="00717C4A">
        <w:rPr>
          <w:rFonts w:ascii="Arial" w:hAnsi="Arial" w:cs="Arial"/>
          <w:color w:val="7030A0"/>
        </w:rPr>
        <w:t xml:space="preserve"> </w:t>
      </w:r>
      <w:r w:rsidR="00717C4A" w:rsidRPr="00717C4A">
        <w:rPr>
          <w:rFonts w:ascii="Arial" w:hAnsi="Arial" w:cs="Arial"/>
          <w:color w:val="7030A0"/>
          <w:highlight w:val="yellow"/>
        </w:rPr>
        <w:t>(DRA. GLADIS)</w:t>
      </w:r>
      <w:r w:rsidR="00500E7C">
        <w:rPr>
          <w:rFonts w:ascii="Arial" w:hAnsi="Arial" w:cs="Arial"/>
          <w:color w:val="7030A0"/>
        </w:rPr>
        <w:t xml:space="preserve"> </w:t>
      </w:r>
      <w:r w:rsidR="00500E7C" w:rsidRPr="00500E7C">
        <w:rPr>
          <w:rFonts w:ascii="Arial" w:hAnsi="Arial" w:cs="Arial"/>
          <w:color w:val="7030A0"/>
          <w:highlight w:val="yellow"/>
        </w:rPr>
        <w:t>y LIC. GRAÑA</w:t>
      </w:r>
    </w:p>
    <w:p w14:paraId="582B531D" w14:textId="77777777" w:rsidR="00B00250" w:rsidRPr="009F0B8F" w:rsidRDefault="00061D70" w:rsidP="009B17B3">
      <w:pPr>
        <w:spacing w:after="0" w:line="360" w:lineRule="auto"/>
        <w:jc w:val="both"/>
        <w:rPr>
          <w:rFonts w:ascii="Arial" w:hAnsi="Arial" w:cs="Arial"/>
          <w:color w:val="7030A0"/>
        </w:rPr>
      </w:pPr>
      <w:r>
        <w:rPr>
          <w:rFonts w:ascii="Arial" w:hAnsi="Arial" w:cs="Arial"/>
          <w:color w:val="7030A0"/>
        </w:rPr>
        <w:t xml:space="preserve"> </w:t>
      </w:r>
    </w:p>
    <w:p w14:paraId="112066B7" w14:textId="77777777" w:rsidR="00520EEF" w:rsidRDefault="00520EEF" w:rsidP="009B17B3">
      <w:pPr>
        <w:spacing w:after="0" w:line="360" w:lineRule="auto"/>
        <w:jc w:val="both"/>
        <w:rPr>
          <w:rFonts w:ascii="Arial" w:hAnsi="Arial" w:cs="Arial"/>
        </w:rPr>
      </w:pPr>
    </w:p>
    <w:p w14:paraId="23113DFE" w14:textId="77777777" w:rsidR="009B17B3" w:rsidRDefault="008F2A42" w:rsidP="009B17B3">
      <w:pPr>
        <w:spacing w:after="0" w:line="360" w:lineRule="auto"/>
        <w:jc w:val="both"/>
        <w:rPr>
          <w:rFonts w:ascii="Arial" w:hAnsi="Arial" w:cs="Arial"/>
        </w:rPr>
      </w:pPr>
      <w:r>
        <w:rPr>
          <w:rFonts w:ascii="Arial" w:hAnsi="Arial" w:cs="Arial"/>
        </w:rPr>
        <w:t xml:space="preserve">5.2. </w:t>
      </w:r>
      <w:r w:rsidR="002968BA">
        <w:rPr>
          <w:rFonts w:ascii="Arial" w:hAnsi="Arial" w:cs="Arial"/>
        </w:rPr>
        <w:t>Prevención</w:t>
      </w:r>
      <w:r w:rsidR="00520EEF">
        <w:rPr>
          <w:rFonts w:ascii="Arial" w:hAnsi="Arial" w:cs="Arial"/>
        </w:rPr>
        <w:t>:</w:t>
      </w:r>
    </w:p>
    <w:p w14:paraId="678405FF" w14:textId="3B5E8606" w:rsidR="008D7411" w:rsidRPr="00567D0A" w:rsidRDefault="00CA673E" w:rsidP="009B17B3">
      <w:pPr>
        <w:spacing w:after="0" w:line="360" w:lineRule="auto"/>
        <w:jc w:val="both"/>
        <w:rPr>
          <w:rFonts w:ascii="Arial" w:hAnsi="Arial" w:cs="Arial"/>
        </w:rPr>
      </w:pPr>
      <w:r w:rsidRPr="00567D0A">
        <w:rPr>
          <w:rFonts w:ascii="Arial" w:hAnsi="Arial" w:cs="Arial"/>
        </w:rPr>
        <w:t>Controles prenatales.</w:t>
      </w:r>
    </w:p>
    <w:p w14:paraId="7460FEA5" w14:textId="77777777" w:rsidR="000C00BD" w:rsidRPr="00567D0A" w:rsidRDefault="000C00BD" w:rsidP="009B17B3">
      <w:pPr>
        <w:spacing w:after="0" w:line="360" w:lineRule="auto"/>
        <w:jc w:val="both"/>
        <w:rPr>
          <w:rFonts w:ascii="Arial" w:hAnsi="Arial" w:cs="Arial"/>
        </w:rPr>
      </w:pPr>
    </w:p>
    <w:p w14:paraId="4EE707D7" w14:textId="012A3915" w:rsidR="00A65B01" w:rsidRPr="00567D0A" w:rsidRDefault="006F3BA9" w:rsidP="009B17B3">
      <w:pPr>
        <w:spacing w:after="0" w:line="360" w:lineRule="auto"/>
        <w:jc w:val="both"/>
        <w:rPr>
          <w:rFonts w:ascii="Arial" w:hAnsi="Arial" w:cs="Arial"/>
        </w:rPr>
      </w:pPr>
      <w:r w:rsidRPr="00567D0A">
        <w:rPr>
          <w:rFonts w:ascii="Arial" w:hAnsi="Arial" w:cs="Arial"/>
        </w:rPr>
        <w:lastRenderedPageBreak/>
        <w:t xml:space="preserve">El profesional de la salud de todos los niveles de atención, debe realizar </w:t>
      </w:r>
      <w:r w:rsidR="006834CB" w:rsidRPr="00567D0A">
        <w:rPr>
          <w:rFonts w:ascii="Arial" w:hAnsi="Arial" w:cs="Arial"/>
        </w:rPr>
        <w:t xml:space="preserve">vigilancia y evaluación integral de la gestante y el crecimiento y desarrollo del feto, que permita la detección oportuna de signos de alarma, factores de riesgo, la educación para el autocuidado y la participación de la familia, así como para el manejo </w:t>
      </w:r>
      <w:r w:rsidRPr="00567D0A">
        <w:rPr>
          <w:rFonts w:ascii="Arial" w:hAnsi="Arial" w:cs="Arial"/>
        </w:rPr>
        <w:t>ade</w:t>
      </w:r>
      <w:r w:rsidR="000C00BD" w:rsidRPr="00567D0A">
        <w:rPr>
          <w:rFonts w:ascii="Arial" w:hAnsi="Arial" w:cs="Arial"/>
        </w:rPr>
        <w:t>cuado de las complicaciones</w:t>
      </w:r>
      <w:r w:rsidR="00C8263A" w:rsidRPr="00567D0A">
        <w:rPr>
          <w:rFonts w:ascii="Arial" w:hAnsi="Arial" w:cs="Arial"/>
        </w:rPr>
        <w:t>;</w:t>
      </w:r>
      <w:r w:rsidR="000C00BD" w:rsidRPr="00567D0A">
        <w:rPr>
          <w:rFonts w:ascii="Arial" w:hAnsi="Arial" w:cs="Arial"/>
        </w:rPr>
        <w:t xml:space="preserve"> con el objetivo de referirlos a un nivel de mayor complejidad</w:t>
      </w:r>
      <w:r w:rsidR="00B4393D" w:rsidRPr="00567D0A">
        <w:rPr>
          <w:rFonts w:ascii="Arial" w:hAnsi="Arial" w:cs="Arial"/>
        </w:rPr>
        <w:t xml:space="preserve">, o  institución donde se cuente con </w:t>
      </w:r>
      <w:r w:rsidR="00A31377" w:rsidRPr="00567D0A">
        <w:rPr>
          <w:rFonts w:ascii="Arial" w:hAnsi="Arial" w:cs="Arial"/>
        </w:rPr>
        <w:t xml:space="preserve">médico especialista en Ginecología y obstetricia </w:t>
      </w:r>
      <w:r w:rsidR="00B4393D" w:rsidRPr="00567D0A">
        <w:rPr>
          <w:rFonts w:ascii="Arial" w:hAnsi="Arial" w:cs="Arial"/>
        </w:rPr>
        <w:t xml:space="preserve">con las competencias necesarias en </w:t>
      </w:r>
      <w:r w:rsidR="000C00BD" w:rsidRPr="00567D0A">
        <w:rPr>
          <w:rFonts w:ascii="Arial" w:hAnsi="Arial" w:cs="Arial"/>
        </w:rPr>
        <w:t xml:space="preserve">Medicina Fetal </w:t>
      </w:r>
      <w:r w:rsidR="000C00BD" w:rsidRPr="00567D0A">
        <w:rPr>
          <w:rFonts w:ascii="Arial" w:hAnsi="Arial" w:cs="Arial"/>
          <w:highlight w:val="yellow"/>
        </w:rPr>
        <w:t>(Ver flujograma en Anexo 01)</w:t>
      </w:r>
      <w:r w:rsidR="00FB6A4B" w:rsidRPr="00567D0A">
        <w:rPr>
          <w:rFonts w:ascii="Arial" w:hAnsi="Arial" w:cs="Arial"/>
          <w:highlight w:val="yellow"/>
        </w:rPr>
        <w:t>.</w:t>
      </w:r>
      <w:r w:rsidR="00717C4A">
        <w:rPr>
          <w:rFonts w:ascii="Arial" w:hAnsi="Arial" w:cs="Arial"/>
        </w:rPr>
        <w:t xml:space="preserve"> </w:t>
      </w:r>
      <w:r w:rsidR="00365DE9">
        <w:rPr>
          <w:rFonts w:ascii="Arial" w:hAnsi="Arial" w:cs="Arial"/>
          <w:highlight w:val="yellow"/>
        </w:rPr>
        <w:t xml:space="preserve">(DR. ABARCA: </w:t>
      </w:r>
      <w:r w:rsidR="00717C4A" w:rsidRPr="00717C4A">
        <w:rPr>
          <w:rFonts w:ascii="Arial" w:hAnsi="Arial" w:cs="Arial"/>
          <w:highlight w:val="yellow"/>
        </w:rPr>
        <w:t xml:space="preserve"> flujogramas, uno de diagnóstico y uno de manejo</w:t>
      </w:r>
      <w:r w:rsidR="00365DE9">
        <w:rPr>
          <w:rFonts w:ascii="Arial" w:hAnsi="Arial" w:cs="Arial"/>
          <w:highlight w:val="yellow"/>
        </w:rPr>
        <w:t>, según niveles</w:t>
      </w:r>
      <w:r w:rsidR="00717C4A" w:rsidRPr="00717C4A">
        <w:rPr>
          <w:rFonts w:ascii="Arial" w:hAnsi="Arial" w:cs="Arial"/>
          <w:highlight w:val="yellow"/>
        </w:rPr>
        <w:t>)</w:t>
      </w:r>
    </w:p>
    <w:p w14:paraId="4815F01A" w14:textId="77777777" w:rsidR="000C00BD" w:rsidRDefault="000C00BD" w:rsidP="009B17B3">
      <w:pPr>
        <w:spacing w:after="0" w:line="360" w:lineRule="auto"/>
        <w:jc w:val="both"/>
        <w:rPr>
          <w:rFonts w:ascii="Arial" w:hAnsi="Arial" w:cs="Arial"/>
          <w:color w:val="7030A0"/>
        </w:rPr>
      </w:pPr>
    </w:p>
    <w:p w14:paraId="102494C8" w14:textId="77777777" w:rsidR="00A65B01" w:rsidRDefault="00A65B01" w:rsidP="009B17B3">
      <w:pPr>
        <w:spacing w:after="0" w:line="360" w:lineRule="auto"/>
        <w:jc w:val="both"/>
        <w:rPr>
          <w:rFonts w:ascii="Arial" w:hAnsi="Arial" w:cs="Arial"/>
          <w:color w:val="7030A0"/>
        </w:rPr>
      </w:pPr>
    </w:p>
    <w:p w14:paraId="03F3815D" w14:textId="77777777" w:rsidR="006834CB" w:rsidRDefault="006834CB" w:rsidP="009B17B3">
      <w:pPr>
        <w:spacing w:after="0" w:line="360" w:lineRule="auto"/>
        <w:jc w:val="both"/>
        <w:rPr>
          <w:rFonts w:ascii="Arial" w:hAnsi="Arial" w:cs="Arial"/>
          <w:color w:val="7030A0"/>
        </w:rPr>
      </w:pPr>
    </w:p>
    <w:p w14:paraId="2FB67BD7" w14:textId="77777777" w:rsidR="006834CB" w:rsidRDefault="006834CB" w:rsidP="009B17B3">
      <w:pPr>
        <w:spacing w:after="0" w:line="360" w:lineRule="auto"/>
        <w:jc w:val="both"/>
        <w:rPr>
          <w:rFonts w:ascii="Arial" w:hAnsi="Arial" w:cs="Arial"/>
          <w:color w:val="7030A0"/>
        </w:rPr>
      </w:pPr>
    </w:p>
    <w:p w14:paraId="666C6FAE" w14:textId="77777777" w:rsidR="00520EEF" w:rsidRPr="00567D0A" w:rsidRDefault="00520EEF" w:rsidP="009B17B3">
      <w:pPr>
        <w:spacing w:after="0" w:line="360" w:lineRule="auto"/>
        <w:jc w:val="both"/>
        <w:rPr>
          <w:rFonts w:ascii="Arial" w:hAnsi="Arial" w:cs="Arial"/>
        </w:rPr>
      </w:pPr>
      <w:r w:rsidRPr="00567D0A">
        <w:rPr>
          <w:rFonts w:ascii="Arial" w:hAnsi="Arial" w:cs="Arial"/>
        </w:rPr>
        <w:t>Ultrasonido</w:t>
      </w:r>
      <w:r w:rsidR="00D825CF" w:rsidRPr="00567D0A">
        <w:rPr>
          <w:rFonts w:ascii="Arial" w:hAnsi="Arial" w:cs="Arial"/>
        </w:rPr>
        <w:t xml:space="preserve"> </w:t>
      </w:r>
    </w:p>
    <w:p w14:paraId="501430FC" w14:textId="7D8DCE8C" w:rsidR="00A65B01" w:rsidRPr="00567D0A" w:rsidRDefault="00143FB9" w:rsidP="009B17B3">
      <w:pPr>
        <w:pStyle w:val="Prrafodelista"/>
        <w:numPr>
          <w:ilvl w:val="0"/>
          <w:numId w:val="9"/>
        </w:numPr>
        <w:spacing w:after="0" w:line="360" w:lineRule="auto"/>
        <w:jc w:val="both"/>
        <w:rPr>
          <w:rFonts w:ascii="Arial" w:hAnsi="Arial" w:cs="Arial"/>
          <w:lang w:val="es-ES"/>
        </w:rPr>
      </w:pPr>
      <w:r w:rsidRPr="00567D0A">
        <w:rPr>
          <w:rFonts w:ascii="Arial" w:hAnsi="Arial" w:cs="Arial"/>
          <w:lang w:val="es-ES"/>
        </w:rPr>
        <w:t>El médico especialista con competencias en</w:t>
      </w:r>
      <w:r w:rsidR="00EF395E" w:rsidRPr="00567D0A">
        <w:rPr>
          <w:rFonts w:ascii="Arial" w:hAnsi="Arial" w:cs="Arial"/>
          <w:lang w:val="es-ES"/>
        </w:rPr>
        <w:t xml:space="preserve"> Ecografía fetal, que </w:t>
      </w:r>
      <w:r w:rsidR="00701A82" w:rsidRPr="00567D0A">
        <w:rPr>
          <w:rFonts w:ascii="Arial" w:hAnsi="Arial" w:cs="Arial"/>
          <w:lang w:val="es-ES"/>
        </w:rPr>
        <w:t>diagnostique R</w:t>
      </w:r>
      <w:commentRangeStart w:id="5"/>
      <w:r w:rsidR="00A65B01" w:rsidRPr="00567D0A">
        <w:rPr>
          <w:rFonts w:ascii="Arial" w:hAnsi="Arial" w:cs="Arial"/>
          <w:lang w:val="es-ES"/>
        </w:rPr>
        <w:t>etras</w:t>
      </w:r>
      <w:r w:rsidR="00701A82" w:rsidRPr="00567D0A">
        <w:rPr>
          <w:rFonts w:ascii="Arial" w:hAnsi="Arial" w:cs="Arial"/>
          <w:lang w:val="es-ES"/>
        </w:rPr>
        <w:t xml:space="preserve">o del crecimiento intrauterino, </w:t>
      </w:r>
      <w:r w:rsidR="00A65B01" w:rsidRPr="00567D0A">
        <w:rPr>
          <w:rFonts w:ascii="Arial" w:hAnsi="Arial" w:cs="Arial"/>
          <w:lang w:val="es-ES"/>
        </w:rPr>
        <w:t>definido por valores por debajo del percentil 10 del perímetro abdomi</w:t>
      </w:r>
      <w:r w:rsidR="00701A82" w:rsidRPr="00567D0A">
        <w:rPr>
          <w:rFonts w:ascii="Arial" w:hAnsi="Arial" w:cs="Arial"/>
          <w:lang w:val="es-ES"/>
        </w:rPr>
        <w:t xml:space="preserve">nal o del peso, </w:t>
      </w:r>
      <w:r w:rsidR="00F92EC4" w:rsidRPr="00567D0A">
        <w:rPr>
          <w:rFonts w:ascii="Arial" w:hAnsi="Arial" w:cs="Arial"/>
          <w:lang w:val="es-ES"/>
        </w:rPr>
        <w:t xml:space="preserve">además debe evaluar otros </w:t>
      </w:r>
      <w:r w:rsidR="00A65B01" w:rsidRPr="00567D0A">
        <w:rPr>
          <w:rFonts w:ascii="Arial" w:hAnsi="Arial" w:cs="Arial"/>
          <w:lang w:val="es-ES"/>
        </w:rPr>
        <w:t xml:space="preserve">parámetros </w:t>
      </w:r>
      <w:r w:rsidR="00F92EC4" w:rsidRPr="00567D0A">
        <w:rPr>
          <w:rFonts w:ascii="Arial" w:hAnsi="Arial" w:cs="Arial"/>
          <w:lang w:val="es-ES"/>
        </w:rPr>
        <w:t xml:space="preserve">como </w:t>
      </w:r>
      <w:r w:rsidR="00A65B01" w:rsidRPr="00567D0A">
        <w:rPr>
          <w:rFonts w:ascii="Arial" w:hAnsi="Arial" w:cs="Arial"/>
          <w:lang w:val="es-ES"/>
        </w:rPr>
        <w:t>la medición de la longitud del fémur, perímetro cefálico, diámetro biparietal.</w:t>
      </w:r>
      <w:commentRangeEnd w:id="5"/>
      <w:r w:rsidR="00A65B01" w:rsidRPr="00567D0A">
        <w:rPr>
          <w:rStyle w:val="Refdecomentario"/>
        </w:rPr>
        <w:commentReference w:id="5"/>
      </w:r>
      <w:r w:rsidR="00F92EC4" w:rsidRPr="00567D0A">
        <w:rPr>
          <w:rFonts w:ascii="Arial" w:hAnsi="Arial" w:cs="Arial"/>
          <w:lang w:val="es-ES"/>
        </w:rPr>
        <w:t xml:space="preserve">; </w:t>
      </w:r>
      <w:r w:rsidR="00EF395E" w:rsidRPr="00567D0A">
        <w:rPr>
          <w:rFonts w:ascii="Arial" w:hAnsi="Arial" w:cs="Arial"/>
          <w:lang w:val="es-ES"/>
        </w:rPr>
        <w:t xml:space="preserve">y </w:t>
      </w:r>
      <w:r w:rsidR="00F92EC4" w:rsidRPr="00567D0A">
        <w:rPr>
          <w:rFonts w:ascii="Arial" w:hAnsi="Arial" w:cs="Arial"/>
        </w:rPr>
        <w:t>realizar la referencia a un nivel de mayor complejidad, o  institución donde se cuente con médico especialista en Ginecología y obstetricia con las competencias necesarias en Medicina Fetal (Ver flujograma en Anexo 01).</w:t>
      </w:r>
    </w:p>
    <w:p w14:paraId="5F4789A3" w14:textId="04712B60" w:rsidR="00132F33" w:rsidRPr="00567D0A" w:rsidRDefault="00701B28" w:rsidP="00F42AA5">
      <w:pPr>
        <w:pStyle w:val="Prrafodelista"/>
        <w:numPr>
          <w:ilvl w:val="0"/>
          <w:numId w:val="9"/>
        </w:numPr>
        <w:spacing w:after="0" w:line="360" w:lineRule="auto"/>
        <w:jc w:val="both"/>
        <w:rPr>
          <w:rFonts w:ascii="Arial" w:hAnsi="Arial" w:cs="Arial"/>
          <w:lang w:val="es-ES"/>
        </w:rPr>
      </w:pPr>
      <w:r w:rsidRPr="00567D0A">
        <w:rPr>
          <w:rFonts w:ascii="Arial" w:hAnsi="Arial" w:cs="Arial"/>
        </w:rPr>
        <w:t xml:space="preserve">El paciente con talla baja </w:t>
      </w:r>
      <w:r w:rsidR="00EF727A" w:rsidRPr="00567D0A">
        <w:rPr>
          <w:rFonts w:ascii="Arial" w:hAnsi="Arial" w:cs="Arial"/>
        </w:rPr>
        <w:t xml:space="preserve">extrema y/o sindrómica </w:t>
      </w:r>
      <w:r w:rsidRPr="00567D0A">
        <w:rPr>
          <w:rFonts w:ascii="Arial" w:hAnsi="Arial" w:cs="Arial"/>
        </w:rPr>
        <w:t xml:space="preserve">debe ser evaluado por el </w:t>
      </w:r>
      <w:r w:rsidR="003C171F" w:rsidRPr="00567D0A">
        <w:rPr>
          <w:rFonts w:ascii="Arial" w:hAnsi="Arial" w:cs="Arial"/>
          <w:lang w:val="es-ES"/>
        </w:rPr>
        <w:t>médico especialista en Genética médica</w:t>
      </w:r>
      <w:r w:rsidRPr="00567D0A">
        <w:rPr>
          <w:rFonts w:ascii="Arial" w:hAnsi="Arial" w:cs="Arial"/>
          <w:lang w:val="es-ES"/>
        </w:rPr>
        <w:t>, quien</w:t>
      </w:r>
      <w:r w:rsidR="003C171F" w:rsidRPr="00567D0A">
        <w:rPr>
          <w:rFonts w:ascii="Arial" w:hAnsi="Arial" w:cs="Arial"/>
          <w:lang w:val="es-ES"/>
        </w:rPr>
        <w:t xml:space="preserve"> realiza</w:t>
      </w:r>
      <w:r w:rsidR="00AE268F" w:rsidRPr="00567D0A">
        <w:rPr>
          <w:rFonts w:ascii="Arial" w:hAnsi="Arial" w:cs="Arial"/>
          <w:lang w:val="es-ES"/>
        </w:rPr>
        <w:t xml:space="preserve"> la evaluación clínica</w:t>
      </w:r>
      <w:r w:rsidR="00E72322" w:rsidRPr="00567D0A">
        <w:rPr>
          <w:rFonts w:ascii="Arial" w:hAnsi="Arial" w:cs="Arial"/>
          <w:lang w:val="es-ES"/>
        </w:rPr>
        <w:t xml:space="preserve"> y</w:t>
      </w:r>
      <w:r w:rsidR="003C171F" w:rsidRPr="00567D0A">
        <w:rPr>
          <w:rFonts w:ascii="Arial" w:hAnsi="Arial" w:cs="Arial"/>
          <w:lang w:val="es-ES"/>
        </w:rPr>
        <w:t xml:space="preserve"> el a</w:t>
      </w:r>
      <w:r w:rsidR="00A65B01" w:rsidRPr="00567D0A">
        <w:rPr>
          <w:rFonts w:ascii="Arial" w:hAnsi="Arial" w:cs="Arial"/>
          <w:lang w:val="es-ES"/>
        </w:rPr>
        <w:t>sesoramiento genético</w:t>
      </w:r>
      <w:r w:rsidR="003C171F" w:rsidRPr="00567D0A">
        <w:rPr>
          <w:rFonts w:ascii="Arial" w:hAnsi="Arial" w:cs="Arial"/>
          <w:lang w:val="es-ES"/>
        </w:rPr>
        <w:t xml:space="preserve">, con el fin </w:t>
      </w:r>
      <w:commentRangeStart w:id="6"/>
      <w:r w:rsidR="00A65B01" w:rsidRPr="00567D0A">
        <w:rPr>
          <w:rFonts w:ascii="Arial" w:hAnsi="Arial" w:cs="Arial"/>
          <w:lang w:val="es-ES"/>
        </w:rPr>
        <w:t xml:space="preserve">de ayudar a las personas a comprender y adaptarse a las implicaciones médicas, psicológicas y familiares de las contribuciones genéticas a la enfermedad. </w:t>
      </w:r>
      <w:r w:rsidR="003C171F" w:rsidRPr="00567D0A">
        <w:rPr>
          <w:rFonts w:ascii="Arial" w:hAnsi="Arial" w:cs="Arial"/>
          <w:lang w:val="es-ES"/>
        </w:rPr>
        <w:t>A través de</w:t>
      </w:r>
      <w:r w:rsidR="00132F33" w:rsidRPr="00567D0A">
        <w:rPr>
          <w:rFonts w:ascii="Arial" w:hAnsi="Arial" w:cs="Arial"/>
          <w:lang w:val="es-ES"/>
        </w:rPr>
        <w:t xml:space="preserve"> los siguientes procesos</w:t>
      </w:r>
      <w:r w:rsidR="003C171F" w:rsidRPr="00567D0A">
        <w:rPr>
          <w:rFonts w:ascii="Arial" w:hAnsi="Arial" w:cs="Arial"/>
          <w:lang w:val="es-ES"/>
        </w:rPr>
        <w:t>:</w:t>
      </w:r>
    </w:p>
    <w:p w14:paraId="6D498556" w14:textId="1017CB77" w:rsidR="00132F33" w:rsidRPr="00567D0A" w:rsidRDefault="00132F33" w:rsidP="00132F33">
      <w:pPr>
        <w:pStyle w:val="Prrafodelista"/>
        <w:numPr>
          <w:ilvl w:val="1"/>
          <w:numId w:val="3"/>
        </w:numPr>
        <w:spacing w:after="0" w:line="360" w:lineRule="auto"/>
        <w:jc w:val="both"/>
        <w:rPr>
          <w:rFonts w:ascii="Arial" w:hAnsi="Arial" w:cs="Arial"/>
          <w:lang w:val="es-ES"/>
        </w:rPr>
      </w:pPr>
      <w:r w:rsidRPr="00567D0A">
        <w:rPr>
          <w:rFonts w:ascii="Arial" w:hAnsi="Arial" w:cs="Arial"/>
          <w:lang w:val="es-ES"/>
        </w:rPr>
        <w:t>Interpretación de las historias familiares y médicas para evaluar la probabilidad de aparición o recurrencia de la enfermedad.</w:t>
      </w:r>
    </w:p>
    <w:p w14:paraId="69393E24" w14:textId="388D31F9" w:rsidR="00A65B01" w:rsidRPr="00567D0A" w:rsidRDefault="00A65B01" w:rsidP="00132F33">
      <w:pPr>
        <w:pStyle w:val="Prrafodelista"/>
        <w:numPr>
          <w:ilvl w:val="1"/>
          <w:numId w:val="3"/>
        </w:numPr>
        <w:spacing w:after="0" w:line="360" w:lineRule="auto"/>
        <w:jc w:val="both"/>
        <w:rPr>
          <w:rFonts w:ascii="Arial" w:hAnsi="Arial" w:cs="Arial"/>
          <w:lang w:val="es-ES"/>
        </w:rPr>
      </w:pPr>
      <w:r w:rsidRPr="00567D0A">
        <w:rPr>
          <w:rFonts w:ascii="Arial" w:hAnsi="Arial" w:cs="Arial"/>
          <w:lang w:val="es-ES"/>
        </w:rPr>
        <w:t>Educación sobre la herencia, pruebas genéticas, tratamientos disponibles, prevención e investigación.</w:t>
      </w:r>
    </w:p>
    <w:p w14:paraId="5411D387" w14:textId="77777777" w:rsidR="00A65B01" w:rsidRPr="00567D0A" w:rsidRDefault="00A65B01" w:rsidP="00A65B01">
      <w:pPr>
        <w:pStyle w:val="Prrafodelista"/>
        <w:numPr>
          <w:ilvl w:val="1"/>
          <w:numId w:val="3"/>
        </w:numPr>
        <w:spacing w:after="0" w:line="360" w:lineRule="auto"/>
        <w:jc w:val="both"/>
        <w:rPr>
          <w:rFonts w:ascii="Arial" w:hAnsi="Arial" w:cs="Arial"/>
          <w:lang w:val="es-ES"/>
        </w:rPr>
      </w:pPr>
      <w:r w:rsidRPr="00567D0A">
        <w:rPr>
          <w:rFonts w:ascii="Arial" w:hAnsi="Arial" w:cs="Arial"/>
          <w:lang w:val="es-ES"/>
        </w:rPr>
        <w:t>Asesoramiento para poder elegir según la información recibida y adaptación del pronóstico o condición.</w:t>
      </w:r>
      <w:commentRangeEnd w:id="6"/>
      <w:r w:rsidRPr="00567D0A">
        <w:rPr>
          <w:rStyle w:val="Refdecomentario"/>
        </w:rPr>
        <w:commentReference w:id="6"/>
      </w:r>
    </w:p>
    <w:p w14:paraId="670DAD30" w14:textId="38DE1D5B" w:rsidR="00A65B01" w:rsidRPr="00567D0A" w:rsidRDefault="00567D0A" w:rsidP="009B17B3">
      <w:pPr>
        <w:spacing w:after="0" w:line="360" w:lineRule="auto"/>
        <w:jc w:val="both"/>
        <w:rPr>
          <w:rFonts w:ascii="Arial" w:hAnsi="Arial" w:cs="Arial"/>
        </w:rPr>
      </w:pPr>
      <w:r>
        <w:rPr>
          <w:rFonts w:ascii="Arial" w:hAnsi="Arial" w:cs="Arial"/>
        </w:rPr>
        <w:t>CRED</w:t>
      </w:r>
    </w:p>
    <w:p w14:paraId="1D3D873F" w14:textId="36869BEF" w:rsidR="00723152" w:rsidRPr="00567D0A" w:rsidRDefault="009D3B02" w:rsidP="009B17B3">
      <w:pPr>
        <w:spacing w:after="0" w:line="360" w:lineRule="auto"/>
        <w:jc w:val="both"/>
        <w:rPr>
          <w:rFonts w:ascii="Arial" w:hAnsi="Arial" w:cs="Arial"/>
        </w:rPr>
      </w:pPr>
      <w:r w:rsidRPr="00567D0A">
        <w:rPr>
          <w:rFonts w:ascii="Arial" w:hAnsi="Arial" w:cs="Arial"/>
        </w:rPr>
        <w:t>El profesional de la salud de todos los niveles de atención, debe realizar vigilancia en el cumplimiento de los Controles de crecimiento y desarrollo, según</w:t>
      </w:r>
      <w:r w:rsidR="00FE31B7" w:rsidRPr="00567D0A">
        <w:rPr>
          <w:rFonts w:ascii="Arial" w:hAnsi="Arial" w:cs="Arial"/>
        </w:rPr>
        <w:t xml:space="preserve"> Norma Técnica de Salud para el control de crecimiento y desarrollo de la Niña y el Niño menor de 5 años, y Curvas de OMS en niños mayores.</w:t>
      </w:r>
    </w:p>
    <w:p w14:paraId="5F671668" w14:textId="77777777" w:rsidR="00C54EDD" w:rsidRPr="00567D0A" w:rsidRDefault="00C54EDD" w:rsidP="009B17B3">
      <w:pPr>
        <w:spacing w:after="0" w:line="360" w:lineRule="auto"/>
        <w:jc w:val="both"/>
        <w:rPr>
          <w:rFonts w:ascii="Arial" w:hAnsi="Arial" w:cs="Arial"/>
        </w:rPr>
      </w:pPr>
    </w:p>
    <w:p w14:paraId="4E1A627D" w14:textId="3DD48B5A" w:rsidR="00FE31B7" w:rsidRPr="00567D0A" w:rsidRDefault="00FE31B7" w:rsidP="009B17B3">
      <w:pPr>
        <w:spacing w:after="0" w:line="360" w:lineRule="auto"/>
        <w:jc w:val="both"/>
        <w:rPr>
          <w:rFonts w:ascii="Arial" w:hAnsi="Arial" w:cs="Arial"/>
        </w:rPr>
      </w:pPr>
      <w:r w:rsidRPr="00567D0A">
        <w:rPr>
          <w:rFonts w:ascii="Arial" w:hAnsi="Arial" w:cs="Arial"/>
        </w:rPr>
        <w:t>El paciente con talla baja debe ser referido a la especialidad de Pediatría, Endocrinología, o Endocrinología pediátrica.</w:t>
      </w:r>
    </w:p>
    <w:p w14:paraId="5C7A350E" w14:textId="77777777" w:rsidR="00723152" w:rsidRDefault="00723152" w:rsidP="009B17B3">
      <w:pPr>
        <w:spacing w:after="0" w:line="360" w:lineRule="auto"/>
        <w:jc w:val="both"/>
        <w:rPr>
          <w:rFonts w:ascii="Arial" w:hAnsi="Arial" w:cs="Arial"/>
          <w:color w:val="7030A0"/>
        </w:rPr>
      </w:pPr>
    </w:p>
    <w:p w14:paraId="5BC2FF09" w14:textId="77777777" w:rsidR="00FE31B7" w:rsidRDefault="00FE31B7" w:rsidP="009B17B3">
      <w:pPr>
        <w:spacing w:after="0" w:line="360" w:lineRule="auto"/>
        <w:jc w:val="both"/>
        <w:rPr>
          <w:rFonts w:ascii="Arial" w:hAnsi="Arial" w:cs="Arial"/>
          <w:color w:val="7030A0"/>
        </w:rPr>
      </w:pPr>
    </w:p>
    <w:p w14:paraId="62BED5BB" w14:textId="3C18F231" w:rsidR="00FE31B7" w:rsidRPr="00567D0A" w:rsidRDefault="00567D0A" w:rsidP="009B17B3">
      <w:pPr>
        <w:spacing w:after="0" w:line="360" w:lineRule="auto"/>
        <w:jc w:val="both"/>
        <w:rPr>
          <w:rFonts w:ascii="Arial" w:hAnsi="Arial" w:cs="Arial"/>
        </w:rPr>
      </w:pPr>
      <w:r w:rsidRPr="00567D0A">
        <w:rPr>
          <w:rFonts w:ascii="Arial" w:hAnsi="Arial" w:cs="Arial"/>
        </w:rPr>
        <w:t>TAMIZAJE</w:t>
      </w:r>
    </w:p>
    <w:p w14:paraId="57524AA1" w14:textId="405A8B36" w:rsidR="00723152" w:rsidRPr="00567D0A" w:rsidRDefault="00C54EDD" w:rsidP="00E86F2A">
      <w:pPr>
        <w:spacing w:after="0" w:line="360" w:lineRule="auto"/>
        <w:jc w:val="both"/>
        <w:rPr>
          <w:rFonts w:ascii="Arial" w:hAnsi="Arial" w:cs="Arial"/>
        </w:rPr>
      </w:pPr>
      <w:r w:rsidRPr="00567D0A">
        <w:rPr>
          <w:rFonts w:ascii="Arial" w:hAnsi="Arial" w:cs="Arial"/>
        </w:rPr>
        <w:t xml:space="preserve">El profesional de la salud debe realizar la vigilancia del cumplimiento de la </w:t>
      </w:r>
      <w:r w:rsidRPr="00567D0A">
        <w:rPr>
          <w:rFonts w:ascii="Arial" w:hAnsi="Arial" w:cs="Arial"/>
          <w:highlight w:val="yellow"/>
        </w:rPr>
        <w:t>Ley del tamizaje</w:t>
      </w:r>
      <w:r w:rsidR="00E86F2A" w:rsidRPr="00567D0A">
        <w:rPr>
          <w:rFonts w:ascii="Arial" w:hAnsi="Arial" w:cs="Arial"/>
          <w:highlight w:val="yellow"/>
        </w:rPr>
        <w:t>…</w:t>
      </w:r>
      <w:r w:rsidR="00567D0A">
        <w:rPr>
          <w:rFonts w:ascii="Arial" w:hAnsi="Arial" w:cs="Arial"/>
          <w:highlight w:val="yellow"/>
        </w:rPr>
        <w:t>(</w:t>
      </w:r>
      <w:r w:rsidR="008A4984">
        <w:rPr>
          <w:rFonts w:ascii="Arial" w:hAnsi="Arial" w:cs="Arial"/>
          <w:highlight w:val="yellow"/>
        </w:rPr>
        <w:t>yo lo detallo</w:t>
      </w:r>
      <w:r w:rsidR="00567D0A">
        <w:rPr>
          <w:rFonts w:ascii="Arial" w:hAnsi="Arial" w:cs="Arial"/>
          <w:highlight w:val="yellow"/>
        </w:rPr>
        <w:t>)</w:t>
      </w:r>
      <w:r w:rsidR="00E86F2A" w:rsidRPr="00567D0A">
        <w:rPr>
          <w:rFonts w:ascii="Arial" w:hAnsi="Arial" w:cs="Arial"/>
          <w:highlight w:val="yellow"/>
        </w:rPr>
        <w:t>..</w:t>
      </w:r>
      <w:r w:rsidR="00E86F2A" w:rsidRPr="00567D0A">
        <w:rPr>
          <w:rFonts w:ascii="Arial" w:hAnsi="Arial" w:cs="Arial"/>
        </w:rPr>
        <w:t xml:space="preserve"> a fin identificar a los neonatos aparentemente sanos en la fase </w:t>
      </w:r>
      <w:r w:rsidR="00723152" w:rsidRPr="00567D0A">
        <w:rPr>
          <w:rFonts w:ascii="Arial" w:hAnsi="Arial" w:cs="Arial"/>
        </w:rPr>
        <w:t xml:space="preserve">preclínica o de latencia, </w:t>
      </w:r>
      <w:r w:rsidR="00E86F2A" w:rsidRPr="00567D0A">
        <w:rPr>
          <w:rFonts w:ascii="Arial" w:hAnsi="Arial" w:cs="Arial"/>
        </w:rPr>
        <w:t>de una determinada enfermedad, con el objetivo de prevenir una discapacidad física y mental o muerte prematura.</w:t>
      </w:r>
    </w:p>
    <w:p w14:paraId="08CDA41F" w14:textId="77777777" w:rsidR="00723152" w:rsidRDefault="00723152" w:rsidP="009B17B3">
      <w:pPr>
        <w:spacing w:after="0" w:line="360" w:lineRule="auto"/>
        <w:jc w:val="both"/>
        <w:rPr>
          <w:rFonts w:ascii="Arial" w:hAnsi="Arial" w:cs="Arial"/>
          <w:color w:val="7030A0"/>
        </w:rPr>
      </w:pPr>
    </w:p>
    <w:p w14:paraId="541DFB46" w14:textId="77777777" w:rsidR="00723152" w:rsidRPr="00520EEF" w:rsidRDefault="00723152" w:rsidP="009B17B3">
      <w:pPr>
        <w:spacing w:after="0" w:line="360" w:lineRule="auto"/>
        <w:jc w:val="both"/>
        <w:rPr>
          <w:rFonts w:ascii="Arial" w:hAnsi="Arial" w:cs="Arial"/>
          <w:color w:val="7030A0"/>
        </w:rPr>
      </w:pPr>
    </w:p>
    <w:p w14:paraId="4B74C62A" w14:textId="77777777" w:rsidR="00B00250" w:rsidRDefault="00B00250" w:rsidP="009B17B3">
      <w:pPr>
        <w:spacing w:after="0" w:line="360" w:lineRule="auto"/>
        <w:jc w:val="both"/>
        <w:rPr>
          <w:rFonts w:ascii="Arial" w:hAnsi="Arial" w:cs="Arial"/>
        </w:rPr>
      </w:pPr>
    </w:p>
    <w:p w14:paraId="59E30708" w14:textId="3BA9F788" w:rsidR="002968BA" w:rsidRDefault="008F2A42" w:rsidP="009B17B3">
      <w:pPr>
        <w:spacing w:after="0" w:line="360" w:lineRule="auto"/>
        <w:jc w:val="both"/>
        <w:rPr>
          <w:rFonts w:ascii="Arial" w:hAnsi="Arial" w:cs="Arial"/>
          <w:color w:val="7030A0"/>
        </w:rPr>
      </w:pPr>
      <w:r>
        <w:rPr>
          <w:rFonts w:ascii="Arial" w:hAnsi="Arial" w:cs="Arial"/>
        </w:rPr>
        <w:t>5.3</w:t>
      </w:r>
      <w:r w:rsidR="002968BA">
        <w:rPr>
          <w:rFonts w:ascii="Arial" w:hAnsi="Arial" w:cs="Arial"/>
        </w:rPr>
        <w:t>. Diagnóstico temprano</w:t>
      </w:r>
      <w:r w:rsidR="004545EA">
        <w:rPr>
          <w:rFonts w:ascii="Arial" w:hAnsi="Arial" w:cs="Arial"/>
        </w:rPr>
        <w:t xml:space="preserve"> (ESPECIFICAR NIVELES DE ATENCION)</w:t>
      </w:r>
      <w:r w:rsidR="00A11568">
        <w:rPr>
          <w:rFonts w:ascii="Arial" w:hAnsi="Arial" w:cs="Arial"/>
        </w:rPr>
        <w:t xml:space="preserve"> </w:t>
      </w:r>
    </w:p>
    <w:p w14:paraId="01A03A54" w14:textId="77777777" w:rsidR="00832B04" w:rsidRDefault="00832B04" w:rsidP="009B17B3">
      <w:pPr>
        <w:spacing w:after="0" w:line="360" w:lineRule="auto"/>
        <w:jc w:val="both"/>
        <w:rPr>
          <w:rFonts w:ascii="Arial" w:hAnsi="Arial" w:cs="Arial"/>
          <w:color w:val="7030A0"/>
        </w:rPr>
      </w:pPr>
    </w:p>
    <w:p w14:paraId="4B565946" w14:textId="03FB722D" w:rsidR="00782FA7" w:rsidRPr="00A4681F" w:rsidRDefault="00FE524E" w:rsidP="009B17B3">
      <w:pPr>
        <w:spacing w:after="0" w:line="360" w:lineRule="auto"/>
        <w:jc w:val="both"/>
        <w:rPr>
          <w:rFonts w:ascii="Arial" w:hAnsi="Arial" w:cs="Arial"/>
        </w:rPr>
      </w:pPr>
      <w:r w:rsidRPr="00A4681F">
        <w:rPr>
          <w:rFonts w:ascii="Arial" w:hAnsi="Arial" w:cs="Arial"/>
        </w:rPr>
        <w:t xml:space="preserve">El médico especialista en Pediatría, Endocrinología o Endocrinología pediátrica debe realizar una ananmnesis exhaustiva y evaluación clínica detallada. </w:t>
      </w:r>
      <w:r w:rsidRPr="00A4681F">
        <w:rPr>
          <w:rFonts w:ascii="Arial" w:hAnsi="Arial" w:cs="Arial"/>
          <w:highlight w:val="yellow"/>
        </w:rPr>
        <w:t>(Ver anexo 02)</w:t>
      </w:r>
    </w:p>
    <w:p w14:paraId="4AABAE71" w14:textId="77777777" w:rsidR="00782FA7" w:rsidRDefault="00782FA7" w:rsidP="009B17B3">
      <w:pPr>
        <w:spacing w:after="0" w:line="360" w:lineRule="auto"/>
        <w:jc w:val="both"/>
        <w:rPr>
          <w:rFonts w:ascii="Arial" w:hAnsi="Arial" w:cs="Arial"/>
          <w:color w:val="7030A0"/>
        </w:rPr>
      </w:pPr>
    </w:p>
    <w:p w14:paraId="229981DB" w14:textId="5F46D05F" w:rsidR="00A4681F" w:rsidRDefault="00A4681F" w:rsidP="009B17B3">
      <w:pPr>
        <w:spacing w:after="0" w:line="360" w:lineRule="auto"/>
        <w:jc w:val="both"/>
        <w:rPr>
          <w:rFonts w:ascii="Arial" w:hAnsi="Arial" w:cs="Arial"/>
          <w:color w:val="7030A0"/>
        </w:rPr>
      </w:pPr>
      <w:r w:rsidRPr="00A4681F">
        <w:rPr>
          <w:rFonts w:ascii="Arial" w:hAnsi="Arial" w:cs="Arial"/>
          <w:color w:val="7030A0"/>
          <w:highlight w:val="yellow"/>
        </w:rPr>
        <w:t>Evaluación antropométrica (DRA. SHEYLA)</w:t>
      </w:r>
    </w:p>
    <w:p w14:paraId="6057C7D1" w14:textId="77777777" w:rsidR="00A4681F" w:rsidRDefault="00A4681F" w:rsidP="009B17B3">
      <w:pPr>
        <w:spacing w:after="0" w:line="360" w:lineRule="auto"/>
        <w:jc w:val="both"/>
        <w:rPr>
          <w:rFonts w:ascii="Arial" w:hAnsi="Arial" w:cs="Arial"/>
          <w:color w:val="7030A0"/>
        </w:rPr>
      </w:pPr>
    </w:p>
    <w:p w14:paraId="6BD359FD" w14:textId="236E6136" w:rsidR="00782FA7" w:rsidRPr="00A4681F" w:rsidRDefault="007817E6" w:rsidP="00782FA7">
      <w:pPr>
        <w:spacing w:after="0" w:line="360" w:lineRule="auto"/>
        <w:jc w:val="both"/>
        <w:rPr>
          <w:rFonts w:ascii="Arial" w:hAnsi="Arial" w:cs="Arial"/>
        </w:rPr>
      </w:pPr>
      <w:r w:rsidRPr="00A4681F">
        <w:rPr>
          <w:rFonts w:ascii="Arial" w:hAnsi="Arial" w:cs="Arial"/>
        </w:rPr>
        <w:t xml:space="preserve">Los exámenes de laboratorio para los niños con talla baja, </w:t>
      </w:r>
      <w:r w:rsidR="003972F4" w:rsidRPr="00A4681F">
        <w:rPr>
          <w:rFonts w:ascii="Arial" w:hAnsi="Arial" w:cs="Arial"/>
        </w:rPr>
        <w:t>con el objetivo de detectar la etiología</w:t>
      </w:r>
      <w:r w:rsidR="008E17BF" w:rsidRPr="00A4681F">
        <w:rPr>
          <w:rFonts w:ascii="Arial" w:hAnsi="Arial" w:cs="Arial"/>
        </w:rPr>
        <w:t>, deben realizarse según nivel de atención</w:t>
      </w:r>
      <w:r w:rsidR="00717C4A">
        <w:rPr>
          <w:rFonts w:ascii="Arial" w:hAnsi="Arial" w:cs="Arial"/>
          <w:highlight w:val="yellow"/>
        </w:rPr>
        <w:t>. (Tabla</w:t>
      </w:r>
      <w:r w:rsidR="00A4681F" w:rsidRPr="00A4681F">
        <w:rPr>
          <w:rFonts w:ascii="Arial" w:hAnsi="Arial" w:cs="Arial"/>
          <w:highlight w:val="yellow"/>
        </w:rPr>
        <w:t>, en anexo 03</w:t>
      </w:r>
      <w:r w:rsidR="008E17BF" w:rsidRPr="00A4681F">
        <w:rPr>
          <w:rFonts w:ascii="Arial" w:hAnsi="Arial" w:cs="Arial"/>
          <w:highlight w:val="yellow"/>
        </w:rPr>
        <w:t>)</w:t>
      </w:r>
      <w:r w:rsidR="00782FA7" w:rsidRPr="00A4681F">
        <w:rPr>
          <w:rFonts w:ascii="Arial" w:hAnsi="Arial" w:cs="Arial"/>
        </w:rPr>
        <w:t xml:space="preserve">:  </w:t>
      </w:r>
      <w:r w:rsidR="00A4681F" w:rsidRPr="00A4681F">
        <w:rPr>
          <w:rFonts w:ascii="Arial" w:hAnsi="Arial" w:cs="Arial"/>
          <w:highlight w:val="yellow"/>
        </w:rPr>
        <w:t>(DRA SOFIA)</w:t>
      </w:r>
    </w:p>
    <w:p w14:paraId="26302D48" w14:textId="770001E5"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r>
      <w:r w:rsidR="002B3F3F" w:rsidRPr="00A4681F">
        <w:rPr>
          <w:rFonts w:ascii="Arial" w:hAnsi="Arial" w:cs="Arial"/>
        </w:rPr>
        <w:t>Hemograma</w:t>
      </w:r>
      <w:r w:rsidRPr="00A4681F">
        <w:rPr>
          <w:rFonts w:ascii="Arial" w:hAnsi="Arial" w:cs="Arial"/>
        </w:rPr>
        <w:t xml:space="preserve"> completo y velocidad de sedimentación globular (VSG) o proteína C reactiva (PCR), para detectar o excluir anemia e infecciones o enfermedades inflamatorias (1,3).</w:t>
      </w:r>
    </w:p>
    <w:p w14:paraId="2145EC10" w14:textId="77777777"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Transaminasas para descartar enfermedades hepáticas (2,3).</w:t>
      </w:r>
    </w:p>
    <w:p w14:paraId="6EC127BF" w14:textId="77777777" w:rsidR="008E17BF" w:rsidRPr="00A4681F" w:rsidRDefault="008E17BF" w:rsidP="008E17BF">
      <w:pPr>
        <w:spacing w:after="0" w:line="360" w:lineRule="auto"/>
        <w:jc w:val="both"/>
        <w:rPr>
          <w:rFonts w:ascii="Arial" w:hAnsi="Arial" w:cs="Arial"/>
        </w:rPr>
      </w:pPr>
      <w:r w:rsidRPr="00A4681F">
        <w:rPr>
          <w:rFonts w:ascii="Arial" w:hAnsi="Arial" w:cs="Arial"/>
        </w:rPr>
        <w:t>-</w:t>
      </w:r>
      <w:r w:rsidRPr="00A4681F">
        <w:rPr>
          <w:rFonts w:ascii="Arial" w:hAnsi="Arial" w:cs="Arial"/>
        </w:rPr>
        <w:tab/>
        <w:t>Examen completo de orina (2).</w:t>
      </w:r>
    </w:p>
    <w:p w14:paraId="031EADE5" w14:textId="77777777" w:rsidR="008E17BF" w:rsidRPr="00A4681F" w:rsidRDefault="008E17BF" w:rsidP="008E17BF">
      <w:pPr>
        <w:spacing w:after="0" w:line="360" w:lineRule="auto"/>
        <w:jc w:val="both"/>
        <w:rPr>
          <w:rFonts w:ascii="Arial" w:hAnsi="Arial" w:cs="Arial"/>
        </w:rPr>
      </w:pPr>
      <w:r w:rsidRPr="00A4681F">
        <w:rPr>
          <w:rFonts w:ascii="Arial" w:hAnsi="Arial" w:cs="Arial"/>
        </w:rPr>
        <w:t>-</w:t>
      </w:r>
      <w:r w:rsidRPr="00A4681F">
        <w:rPr>
          <w:rFonts w:ascii="Arial" w:hAnsi="Arial" w:cs="Arial"/>
        </w:rPr>
        <w:tab/>
        <w:t>Examen coproparasitológico seriado (2).</w:t>
      </w:r>
    </w:p>
    <w:p w14:paraId="4B01E60F" w14:textId="3CEFB544" w:rsidR="008E17BF" w:rsidRPr="00A4681F" w:rsidRDefault="008E17BF" w:rsidP="008E17BF">
      <w:pPr>
        <w:spacing w:after="0" w:line="360" w:lineRule="auto"/>
        <w:jc w:val="both"/>
        <w:rPr>
          <w:rFonts w:ascii="Arial" w:hAnsi="Arial" w:cs="Arial"/>
        </w:rPr>
      </w:pPr>
      <w:r w:rsidRPr="00A4681F">
        <w:rPr>
          <w:rFonts w:ascii="Arial" w:hAnsi="Arial" w:cs="Arial"/>
        </w:rPr>
        <w:t>- Creatinina</w:t>
      </w:r>
    </w:p>
    <w:p w14:paraId="5309D8E1" w14:textId="77777777" w:rsidR="008E17BF" w:rsidRPr="00A4681F" w:rsidRDefault="008E17BF" w:rsidP="008E17BF">
      <w:pPr>
        <w:spacing w:after="0" w:line="360" w:lineRule="auto"/>
        <w:jc w:val="both"/>
        <w:rPr>
          <w:rFonts w:ascii="Arial" w:hAnsi="Arial" w:cs="Arial"/>
        </w:rPr>
      </w:pPr>
    </w:p>
    <w:p w14:paraId="127DF18A" w14:textId="6F2AB6F2"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Electrolitos, bicarbonato, calcio, fosforo, fosfatasa alcalina, albúmina, para detectar trastornos renales, trastornos de calcio y fosforo (1,2,3).</w:t>
      </w:r>
    </w:p>
    <w:p w14:paraId="04A7F8CE" w14:textId="77777777"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Gasometría venosa, prueba para detectar enfermedades renales como la acidosis tubular renal, sobretodo si está asociado a falla de medro en los primeros 3 años de vida (2,3).</w:t>
      </w:r>
    </w:p>
    <w:p w14:paraId="5AFD6039" w14:textId="7D3F859F" w:rsidR="00782FA7" w:rsidRPr="00A4681F" w:rsidRDefault="00782FA7" w:rsidP="00782FA7">
      <w:pPr>
        <w:spacing w:after="0" w:line="360" w:lineRule="auto"/>
        <w:jc w:val="both"/>
        <w:rPr>
          <w:rFonts w:ascii="Arial" w:hAnsi="Arial" w:cs="Arial"/>
        </w:rPr>
      </w:pPr>
      <w:r w:rsidRPr="00A4681F">
        <w:rPr>
          <w:rFonts w:ascii="Arial" w:hAnsi="Arial" w:cs="Arial"/>
        </w:rPr>
        <w:lastRenderedPageBreak/>
        <w:t>-</w:t>
      </w:r>
      <w:r w:rsidRPr="00A4681F">
        <w:rPr>
          <w:rFonts w:ascii="Arial" w:hAnsi="Arial" w:cs="Arial"/>
        </w:rPr>
        <w:tab/>
        <w:t xml:space="preserve">El dosaje de Anticuerpos anti-tejido transglutaminasa IgA e IgA total, </w:t>
      </w:r>
      <w:r w:rsidR="00ED697B" w:rsidRPr="00A4681F">
        <w:rPr>
          <w:rFonts w:ascii="Arial" w:hAnsi="Arial" w:cs="Arial"/>
        </w:rPr>
        <w:t xml:space="preserve">para detectar </w:t>
      </w:r>
      <w:r w:rsidRPr="00A4681F">
        <w:rPr>
          <w:rFonts w:ascii="Arial" w:hAnsi="Arial" w:cs="Arial"/>
        </w:rPr>
        <w:t>enfermedad celiaca (EC)</w:t>
      </w:r>
      <w:r w:rsidR="00ED697B" w:rsidRPr="00A4681F">
        <w:rPr>
          <w:rFonts w:ascii="Arial" w:hAnsi="Arial" w:cs="Arial"/>
        </w:rPr>
        <w:t>.</w:t>
      </w:r>
      <w:r w:rsidRPr="00A4681F">
        <w:rPr>
          <w:rFonts w:ascii="Arial" w:hAnsi="Arial" w:cs="Arial"/>
        </w:rPr>
        <w:t xml:space="preserve"> </w:t>
      </w:r>
    </w:p>
    <w:p w14:paraId="45614A3E" w14:textId="77777777"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Dosaje de Hormona estimulante de la tiroides (TSH), tiroxina libre (T4 libre) para descartar hipotiroidismo (1,3).</w:t>
      </w:r>
    </w:p>
    <w:p w14:paraId="4069F6B4" w14:textId="649BF8FF"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 xml:space="preserve"> Factor de crecimiento tipo insulina 1 (IGF-1) y la   proteína de unión al factor de crecimiento tipo insulina 3 (IGFBP-3). IGFBP-3</w:t>
      </w:r>
      <w:r w:rsidR="00ED697B" w:rsidRPr="00A4681F">
        <w:rPr>
          <w:rFonts w:ascii="Arial" w:hAnsi="Arial" w:cs="Arial"/>
        </w:rPr>
        <w:t>.</w:t>
      </w:r>
      <w:r w:rsidRPr="00A4681F">
        <w:rPr>
          <w:rFonts w:ascii="Arial" w:hAnsi="Arial" w:cs="Arial"/>
        </w:rPr>
        <w:t xml:space="preserve"> (1,3).</w:t>
      </w:r>
    </w:p>
    <w:p w14:paraId="3C2A2A7D" w14:textId="77777777"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 xml:space="preserve">Los pacientes con baja velocidad de crecimiento y bajo IGF-1 y / o IGFBP-3 y retraso en la edad ósea deben ser evaluados para detectar deficiencia de hormona de crecimiento mediante pruebas estimulación de hormona de crecimiento (1). </w:t>
      </w:r>
    </w:p>
    <w:p w14:paraId="38ACC1BF" w14:textId="3D894C48"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Cariotipo</w:t>
      </w:r>
      <w:r w:rsidR="006E59F4" w:rsidRPr="00A4681F">
        <w:rPr>
          <w:rFonts w:ascii="Arial" w:hAnsi="Arial" w:cs="Arial"/>
        </w:rPr>
        <w:t xml:space="preserve">, se debe realizar a </w:t>
      </w:r>
      <w:r w:rsidRPr="00A4681F">
        <w:rPr>
          <w:rFonts w:ascii="Arial" w:hAnsi="Arial" w:cs="Arial"/>
        </w:rPr>
        <w:t xml:space="preserve">todas las niñas con talla baja sin causa aparente, para descartar el síndrome de Turner, </w:t>
      </w:r>
      <w:r w:rsidR="006E59F4" w:rsidRPr="00A4681F">
        <w:rPr>
          <w:rFonts w:ascii="Arial" w:hAnsi="Arial" w:cs="Arial"/>
        </w:rPr>
        <w:t xml:space="preserve">asimismo </w:t>
      </w:r>
      <w:r w:rsidRPr="00A4681F">
        <w:rPr>
          <w:rFonts w:ascii="Arial" w:hAnsi="Arial" w:cs="Arial"/>
        </w:rPr>
        <w:t>en niños con anomalías genitales asociadas</w:t>
      </w:r>
      <w:r w:rsidR="006E59F4" w:rsidRPr="00A4681F">
        <w:rPr>
          <w:rFonts w:ascii="Arial" w:hAnsi="Arial" w:cs="Arial"/>
        </w:rPr>
        <w:t>.</w:t>
      </w:r>
      <w:r w:rsidRPr="00A4681F">
        <w:rPr>
          <w:rFonts w:ascii="Arial" w:hAnsi="Arial" w:cs="Arial"/>
        </w:rPr>
        <w:t xml:space="preserve"> (1,4).</w:t>
      </w:r>
    </w:p>
    <w:p w14:paraId="5691890A" w14:textId="7930C4CE" w:rsidR="00782FA7" w:rsidRPr="00A4681F" w:rsidRDefault="00782FA7" w:rsidP="00782FA7">
      <w:pPr>
        <w:spacing w:after="0" w:line="360" w:lineRule="auto"/>
        <w:jc w:val="both"/>
        <w:rPr>
          <w:rFonts w:ascii="Arial" w:hAnsi="Arial" w:cs="Arial"/>
        </w:rPr>
      </w:pPr>
    </w:p>
    <w:p w14:paraId="28431781" w14:textId="5C827EF7" w:rsidR="00782FA7" w:rsidRPr="00A4681F" w:rsidRDefault="00782FA7" w:rsidP="00782FA7">
      <w:pPr>
        <w:spacing w:after="0" w:line="360" w:lineRule="auto"/>
        <w:jc w:val="both"/>
        <w:rPr>
          <w:rFonts w:ascii="Arial" w:hAnsi="Arial" w:cs="Arial"/>
        </w:rPr>
      </w:pPr>
      <w:r w:rsidRPr="00A4681F">
        <w:rPr>
          <w:rFonts w:ascii="Arial" w:hAnsi="Arial" w:cs="Arial"/>
        </w:rPr>
        <w:t>-</w:t>
      </w:r>
      <w:r w:rsidRPr="00A4681F">
        <w:rPr>
          <w:rFonts w:ascii="Arial" w:hAnsi="Arial" w:cs="Arial"/>
        </w:rPr>
        <w:tab/>
        <w:t>A</w:t>
      </w:r>
      <w:r w:rsidR="00515527" w:rsidRPr="00A4681F">
        <w:rPr>
          <w:rFonts w:ascii="Arial" w:hAnsi="Arial" w:cs="Arial"/>
        </w:rPr>
        <w:t>nálisis cromosómico por micromatrices (Microarrays o Arrays CGH/SNP</w:t>
      </w:r>
      <w:r w:rsidRPr="00A4681F">
        <w:rPr>
          <w:rFonts w:ascii="Arial" w:hAnsi="Arial" w:cs="Arial"/>
        </w:rPr>
        <w:t xml:space="preserve">) </w:t>
      </w:r>
      <w:r w:rsidR="00515527" w:rsidRPr="00A4681F">
        <w:rPr>
          <w:rFonts w:ascii="Arial" w:hAnsi="Arial" w:cs="Arial"/>
        </w:rPr>
        <w:t xml:space="preserve">para </w:t>
      </w:r>
      <w:r w:rsidRPr="00A4681F">
        <w:rPr>
          <w:rFonts w:ascii="Arial" w:hAnsi="Arial" w:cs="Arial"/>
        </w:rPr>
        <w:t xml:space="preserve"> </w:t>
      </w:r>
      <w:r w:rsidR="00515527" w:rsidRPr="00A4681F">
        <w:rPr>
          <w:rFonts w:ascii="Arial" w:hAnsi="Arial" w:cs="Arial"/>
        </w:rPr>
        <w:t>detectar variantes en el</w:t>
      </w:r>
      <w:r w:rsidRPr="00A4681F">
        <w:rPr>
          <w:rFonts w:ascii="Arial" w:hAnsi="Arial" w:cs="Arial"/>
        </w:rPr>
        <w:t xml:space="preserve"> número de copias del genoma (microdeleciones, microduplicaciones o disomías uniparentales) (4).</w:t>
      </w:r>
    </w:p>
    <w:p w14:paraId="6F867733" w14:textId="3647753F" w:rsidR="00782FA7" w:rsidRDefault="006527F0" w:rsidP="00782FA7">
      <w:pPr>
        <w:spacing w:after="0" w:line="360" w:lineRule="auto"/>
        <w:jc w:val="both"/>
        <w:rPr>
          <w:rFonts w:ascii="Arial" w:hAnsi="Arial" w:cs="Arial"/>
          <w:color w:val="7030A0"/>
        </w:rPr>
      </w:pPr>
      <w:r>
        <w:rPr>
          <w:rFonts w:ascii="Arial" w:hAnsi="Arial" w:cs="Arial"/>
          <w:color w:val="7030A0"/>
        </w:rPr>
        <w:t>-</w:t>
      </w:r>
      <w:r>
        <w:rPr>
          <w:rFonts w:ascii="Arial" w:hAnsi="Arial" w:cs="Arial"/>
          <w:color w:val="7030A0"/>
        </w:rPr>
        <w:tab/>
      </w:r>
      <w:r w:rsidRPr="00FD3074">
        <w:rPr>
          <w:rFonts w:ascii="Arial" w:hAnsi="Arial" w:cs="Arial"/>
        </w:rPr>
        <w:t>Secuenciación masiva (panel, exoma y genoma)</w:t>
      </w:r>
      <w:r w:rsidR="00782FA7" w:rsidRPr="00FD3074">
        <w:rPr>
          <w:rFonts w:ascii="Arial" w:hAnsi="Arial" w:cs="Arial"/>
        </w:rPr>
        <w:t xml:space="preserve">, </w:t>
      </w:r>
      <w:r w:rsidRPr="00FD3074">
        <w:rPr>
          <w:rFonts w:ascii="Arial" w:hAnsi="Arial" w:cs="Arial"/>
        </w:rPr>
        <w:t>para</w:t>
      </w:r>
      <w:r w:rsidR="00782FA7" w:rsidRPr="00FD3074">
        <w:rPr>
          <w:rFonts w:ascii="Arial" w:hAnsi="Arial" w:cs="Arial"/>
        </w:rPr>
        <w:t xml:space="preserve"> identificar causas genéticas. </w:t>
      </w:r>
      <w:r w:rsidR="00A4681F" w:rsidRPr="00FD3074">
        <w:rPr>
          <w:rFonts w:ascii="Arial" w:hAnsi="Arial" w:cs="Arial"/>
        </w:rPr>
        <w:t xml:space="preserve">  </w:t>
      </w:r>
      <w:r w:rsidR="00A4681F" w:rsidRPr="00FD3074">
        <w:rPr>
          <w:rFonts w:ascii="Arial" w:hAnsi="Arial" w:cs="Arial"/>
          <w:highlight w:val="yellow"/>
        </w:rPr>
        <w:t>(ANEXO 04, DRA NATHALY)</w:t>
      </w:r>
    </w:p>
    <w:p w14:paraId="09B9570D" w14:textId="77777777" w:rsidR="00782FA7" w:rsidRDefault="00782FA7" w:rsidP="00782FA7">
      <w:pPr>
        <w:spacing w:after="0" w:line="360" w:lineRule="auto"/>
        <w:jc w:val="both"/>
        <w:rPr>
          <w:rFonts w:ascii="Arial" w:hAnsi="Arial" w:cs="Arial"/>
          <w:color w:val="7030A0"/>
        </w:rPr>
      </w:pPr>
    </w:p>
    <w:p w14:paraId="264D391C" w14:textId="77777777" w:rsidR="00782FA7" w:rsidRDefault="00782FA7" w:rsidP="00782FA7">
      <w:pPr>
        <w:spacing w:after="0" w:line="360" w:lineRule="auto"/>
        <w:jc w:val="both"/>
        <w:rPr>
          <w:rFonts w:ascii="Arial" w:hAnsi="Arial" w:cs="Arial"/>
          <w:color w:val="7030A0"/>
        </w:rPr>
      </w:pPr>
    </w:p>
    <w:p w14:paraId="7B94A12A" w14:textId="77777777" w:rsidR="00782FA7" w:rsidRDefault="00782FA7" w:rsidP="00782FA7">
      <w:pPr>
        <w:spacing w:after="0" w:line="360" w:lineRule="auto"/>
        <w:jc w:val="both"/>
        <w:rPr>
          <w:rFonts w:ascii="Arial" w:hAnsi="Arial" w:cs="Arial"/>
          <w:color w:val="7030A0"/>
        </w:rPr>
      </w:pPr>
    </w:p>
    <w:p w14:paraId="0FF7B8BA" w14:textId="77777777" w:rsidR="00782FA7" w:rsidRDefault="00782FA7" w:rsidP="00782FA7">
      <w:pPr>
        <w:spacing w:after="0" w:line="360" w:lineRule="auto"/>
        <w:jc w:val="both"/>
        <w:rPr>
          <w:rFonts w:ascii="Arial" w:hAnsi="Arial" w:cs="Arial"/>
          <w:color w:val="7030A0"/>
        </w:rPr>
      </w:pPr>
    </w:p>
    <w:p w14:paraId="0C241BBC" w14:textId="77777777" w:rsidR="00782FA7" w:rsidRDefault="00782FA7" w:rsidP="009B17B3">
      <w:pPr>
        <w:spacing w:after="0" w:line="360" w:lineRule="auto"/>
        <w:jc w:val="both"/>
        <w:rPr>
          <w:rFonts w:ascii="Arial" w:hAnsi="Arial" w:cs="Arial"/>
          <w:color w:val="7030A0"/>
        </w:rPr>
      </w:pPr>
    </w:p>
    <w:p w14:paraId="6048B12C" w14:textId="77777777" w:rsidR="00782FA7" w:rsidRDefault="00782FA7" w:rsidP="009B17B3">
      <w:pPr>
        <w:spacing w:after="0" w:line="360" w:lineRule="auto"/>
        <w:jc w:val="both"/>
        <w:rPr>
          <w:rFonts w:ascii="Arial" w:hAnsi="Arial" w:cs="Arial"/>
          <w:color w:val="7030A0"/>
        </w:rPr>
      </w:pPr>
    </w:p>
    <w:p w14:paraId="7BDE82C5" w14:textId="77777777" w:rsidR="00305AD4" w:rsidRDefault="00305AD4" w:rsidP="009B17B3">
      <w:pPr>
        <w:spacing w:after="0" w:line="360" w:lineRule="auto"/>
        <w:jc w:val="both"/>
        <w:rPr>
          <w:rFonts w:ascii="Arial" w:hAnsi="Arial" w:cs="Arial"/>
          <w:color w:val="7030A0"/>
        </w:rPr>
      </w:pPr>
      <w:r w:rsidRPr="00305AD4">
        <w:rPr>
          <w:rFonts w:ascii="Arial" w:hAnsi="Arial" w:cs="Arial"/>
          <w:color w:val="7030A0"/>
        </w:rPr>
        <w:t>Edad ósea</w:t>
      </w:r>
    </w:p>
    <w:p w14:paraId="5FB731E6" w14:textId="77777777" w:rsidR="008E4861" w:rsidRPr="008E4861" w:rsidRDefault="008E4861" w:rsidP="008E4861">
      <w:pPr>
        <w:spacing w:after="0" w:line="360" w:lineRule="auto"/>
        <w:jc w:val="both"/>
        <w:rPr>
          <w:rFonts w:ascii="Arial" w:hAnsi="Arial" w:cs="Arial"/>
          <w:color w:val="7030A0"/>
        </w:rPr>
      </w:pPr>
      <w:r w:rsidRPr="008E4861">
        <w:rPr>
          <w:rFonts w:ascii="Arial" w:hAnsi="Arial" w:cs="Arial"/>
          <w:color w:val="7030A0"/>
        </w:rPr>
        <w:t xml:space="preserve">Determinación de la edad ósea: </w:t>
      </w:r>
    </w:p>
    <w:p w14:paraId="12022E0F" w14:textId="77777777" w:rsidR="008E4861" w:rsidRPr="008E4861" w:rsidRDefault="008E4861" w:rsidP="008E4861">
      <w:pPr>
        <w:spacing w:after="0" w:line="360" w:lineRule="auto"/>
        <w:jc w:val="both"/>
        <w:rPr>
          <w:rFonts w:ascii="Arial" w:hAnsi="Arial" w:cs="Arial"/>
          <w:color w:val="7030A0"/>
        </w:rPr>
      </w:pPr>
      <w:r w:rsidRPr="008E4861">
        <w:rPr>
          <w:rFonts w:ascii="Arial" w:hAnsi="Arial" w:cs="Arial"/>
          <w:color w:val="7030A0"/>
        </w:rPr>
        <w:t xml:space="preserve">En todo paciente con talla baja proporcionada se debe solicitar una edad ósea (2): </w:t>
      </w:r>
    </w:p>
    <w:p w14:paraId="78AD9F55" w14:textId="77777777" w:rsidR="008E4861" w:rsidRPr="008E4861" w:rsidRDefault="008E4861" w:rsidP="008E4861">
      <w:pPr>
        <w:spacing w:after="0" w:line="360" w:lineRule="auto"/>
        <w:jc w:val="both"/>
        <w:rPr>
          <w:rFonts w:ascii="Arial" w:hAnsi="Arial" w:cs="Arial"/>
          <w:color w:val="7030A0"/>
        </w:rPr>
      </w:pPr>
      <w:r w:rsidRPr="008E4861">
        <w:rPr>
          <w:rFonts w:ascii="Arial" w:hAnsi="Arial" w:cs="Arial"/>
          <w:color w:val="7030A0"/>
        </w:rPr>
        <w:t>-</w:t>
      </w:r>
      <w:r w:rsidRPr="008E4861">
        <w:rPr>
          <w:rFonts w:ascii="Arial" w:hAnsi="Arial" w:cs="Arial"/>
          <w:color w:val="7030A0"/>
        </w:rPr>
        <w:tab/>
        <w:t>En menores de 2 años: radiografía de pie y tobillo izquierdo (2).</w:t>
      </w:r>
    </w:p>
    <w:p w14:paraId="37C66E53" w14:textId="77777777" w:rsidR="008E4861" w:rsidRPr="008E4861" w:rsidRDefault="008E4861" w:rsidP="008E4861">
      <w:pPr>
        <w:spacing w:after="0" w:line="360" w:lineRule="auto"/>
        <w:jc w:val="both"/>
        <w:rPr>
          <w:rFonts w:ascii="Arial" w:hAnsi="Arial" w:cs="Arial"/>
          <w:color w:val="7030A0"/>
        </w:rPr>
      </w:pPr>
      <w:r w:rsidRPr="008E4861">
        <w:rPr>
          <w:rFonts w:ascii="Arial" w:hAnsi="Arial" w:cs="Arial"/>
          <w:color w:val="7030A0"/>
        </w:rPr>
        <w:t>-</w:t>
      </w:r>
      <w:r w:rsidRPr="008E4861">
        <w:rPr>
          <w:rFonts w:ascii="Arial" w:hAnsi="Arial" w:cs="Arial"/>
          <w:color w:val="7030A0"/>
        </w:rPr>
        <w:tab/>
        <w:t xml:space="preserve">En Mayores de 2 años: estudio radiográfico de la mano no dominante Se determina típicamente a partir de una radiografía de la mano izquierda y la muñeca, y requiere una experta interpretación. Los métodos utilizados con mayor frecuencia para determinar la edad ósea son el método del atlas de Greulich y Pyle y el método Tanner Whitehouse (1,2). </w:t>
      </w:r>
    </w:p>
    <w:p w14:paraId="5283361A" w14:textId="77777777" w:rsidR="008E4861" w:rsidRPr="008E4861" w:rsidRDefault="008E4861" w:rsidP="008E4861">
      <w:pPr>
        <w:spacing w:after="0" w:line="360" w:lineRule="auto"/>
        <w:jc w:val="both"/>
        <w:rPr>
          <w:rFonts w:ascii="Arial" w:hAnsi="Arial" w:cs="Arial"/>
          <w:color w:val="7030A0"/>
        </w:rPr>
      </w:pPr>
      <w:r w:rsidRPr="008E4861">
        <w:rPr>
          <w:rFonts w:ascii="Arial" w:hAnsi="Arial" w:cs="Arial"/>
          <w:color w:val="7030A0"/>
        </w:rPr>
        <w:t>La determinación de la edad ósea informa las estimaciones del potencial de crecimiento del niño y la talla adulta probable, de la siguiente manera:</w:t>
      </w:r>
    </w:p>
    <w:p w14:paraId="0EBF5605" w14:textId="77777777" w:rsidR="008E4861" w:rsidRPr="008E4861" w:rsidRDefault="008E4861" w:rsidP="008E4861">
      <w:pPr>
        <w:spacing w:after="0" w:line="360" w:lineRule="auto"/>
        <w:jc w:val="both"/>
        <w:rPr>
          <w:rFonts w:ascii="Arial" w:hAnsi="Arial" w:cs="Arial"/>
          <w:color w:val="7030A0"/>
        </w:rPr>
      </w:pPr>
    </w:p>
    <w:p w14:paraId="5D53B7BC" w14:textId="77777777" w:rsidR="008E4861" w:rsidRPr="008E4861" w:rsidRDefault="008E4861" w:rsidP="008E4861">
      <w:pPr>
        <w:spacing w:after="0" w:line="360" w:lineRule="auto"/>
        <w:jc w:val="both"/>
        <w:rPr>
          <w:rFonts w:ascii="Arial" w:hAnsi="Arial" w:cs="Arial"/>
          <w:color w:val="7030A0"/>
        </w:rPr>
      </w:pPr>
      <w:r w:rsidRPr="008E4861">
        <w:rPr>
          <w:rFonts w:ascii="Arial" w:hAnsi="Arial" w:cs="Arial"/>
          <w:color w:val="7030A0"/>
        </w:rPr>
        <w:lastRenderedPageBreak/>
        <w:t xml:space="preserve">- La edad ósea atrasada o avanzada se define como una edad ósea que es 2 DE o más por debajo o por encima de la media, respectivamente. Esto es aproximadamente 20 % por debajo o por encima de la edad cronológica. Esto se traduce en una diferencia entre la edad ósea y la edad cronológica de aproximadamente 12 meses entre los 2 y 4 años de edad cronológica, 18 meses entre los 4 y 12 años, y 24 meses después de los 12 años. Si la edad ósea se retrasa o avanza cerca o más allá de estos parámetros, entonces la talla proyectada debe recalcularse en función de la edad ósea en lugar de la edad cronológica. Esto proporcionará una evaluación más precisa de la talla proyectada (1). </w:t>
      </w:r>
    </w:p>
    <w:p w14:paraId="5FC1C675" w14:textId="6FBC90CB" w:rsidR="00782FA7" w:rsidRDefault="008E4861" w:rsidP="008E4861">
      <w:pPr>
        <w:spacing w:after="0" w:line="360" w:lineRule="auto"/>
        <w:jc w:val="both"/>
        <w:rPr>
          <w:rFonts w:ascii="Arial" w:hAnsi="Arial" w:cs="Arial"/>
          <w:color w:val="7030A0"/>
        </w:rPr>
      </w:pPr>
      <w:r w:rsidRPr="008E4861">
        <w:rPr>
          <w:rFonts w:ascii="Arial" w:hAnsi="Arial" w:cs="Arial"/>
          <w:color w:val="7030A0"/>
        </w:rPr>
        <w:t>- La edad ósea puede usarse para predecir la talla adulta del niño:  La técnica desarrollada por Bayley-Pinneau (BP) se usa más comúnmente en niños de aproximadamente seis años o más. Esta técnica emplea una tabla para traducir la edad ósea y la edad cronológica del niño a una fracción decimal de la tala adulta. Para predecir la talla adulta, la talla actual se divide por la fracción de la talla adulta (1).</w:t>
      </w:r>
    </w:p>
    <w:p w14:paraId="7A85DC04" w14:textId="77777777" w:rsidR="008E4861" w:rsidRDefault="008E4861" w:rsidP="009B17B3">
      <w:pPr>
        <w:spacing w:after="0" w:line="360" w:lineRule="auto"/>
        <w:jc w:val="both"/>
        <w:rPr>
          <w:rFonts w:ascii="Arial" w:hAnsi="Arial" w:cs="Arial"/>
          <w:color w:val="7030A0"/>
        </w:rPr>
      </w:pPr>
    </w:p>
    <w:p w14:paraId="7C568A26" w14:textId="77777777" w:rsidR="008E4861" w:rsidRDefault="008E4861" w:rsidP="009B17B3">
      <w:pPr>
        <w:spacing w:after="0" w:line="360" w:lineRule="auto"/>
        <w:jc w:val="both"/>
        <w:rPr>
          <w:rFonts w:ascii="Arial" w:hAnsi="Arial" w:cs="Arial"/>
          <w:color w:val="7030A0"/>
        </w:rPr>
      </w:pPr>
    </w:p>
    <w:p w14:paraId="1EFEC805" w14:textId="77777777" w:rsidR="008E4861" w:rsidRDefault="008E4861" w:rsidP="009B17B3">
      <w:pPr>
        <w:spacing w:after="0" w:line="360" w:lineRule="auto"/>
        <w:jc w:val="both"/>
        <w:rPr>
          <w:rFonts w:ascii="Arial" w:hAnsi="Arial" w:cs="Arial"/>
          <w:color w:val="7030A0"/>
        </w:rPr>
      </w:pPr>
    </w:p>
    <w:p w14:paraId="2F4C372B" w14:textId="77777777" w:rsidR="008E4861" w:rsidRDefault="008E4861" w:rsidP="009B17B3">
      <w:pPr>
        <w:spacing w:after="0" w:line="360" w:lineRule="auto"/>
        <w:jc w:val="both"/>
        <w:rPr>
          <w:rFonts w:ascii="Arial" w:hAnsi="Arial" w:cs="Arial"/>
          <w:color w:val="7030A0"/>
        </w:rPr>
      </w:pPr>
    </w:p>
    <w:p w14:paraId="27E74D1F" w14:textId="77777777" w:rsidR="00782FA7" w:rsidRDefault="00782FA7" w:rsidP="009B17B3">
      <w:pPr>
        <w:spacing w:after="0" w:line="360" w:lineRule="auto"/>
        <w:jc w:val="both"/>
        <w:rPr>
          <w:rFonts w:ascii="Arial" w:hAnsi="Arial" w:cs="Arial"/>
          <w:color w:val="7030A0"/>
        </w:rPr>
      </w:pPr>
    </w:p>
    <w:p w14:paraId="224BCB16" w14:textId="77777777" w:rsidR="004545EA" w:rsidRDefault="004545EA" w:rsidP="009B17B3">
      <w:pPr>
        <w:spacing w:after="0" w:line="360" w:lineRule="auto"/>
        <w:jc w:val="both"/>
        <w:rPr>
          <w:rFonts w:ascii="Arial" w:hAnsi="Arial" w:cs="Arial"/>
          <w:color w:val="7030A0"/>
        </w:rPr>
      </w:pPr>
      <w:r>
        <w:rPr>
          <w:rFonts w:ascii="Arial" w:hAnsi="Arial" w:cs="Arial"/>
          <w:color w:val="7030A0"/>
        </w:rPr>
        <w:t>Exámenes de imágenes (RMN, Otras rx)</w:t>
      </w:r>
    </w:p>
    <w:p w14:paraId="30E93671" w14:textId="77777777" w:rsidR="00E806A5" w:rsidRPr="00E806A5" w:rsidRDefault="00E806A5" w:rsidP="00E806A5">
      <w:pPr>
        <w:spacing w:after="0" w:line="360" w:lineRule="auto"/>
        <w:jc w:val="both"/>
        <w:rPr>
          <w:rFonts w:ascii="Arial" w:hAnsi="Arial" w:cs="Arial"/>
          <w:color w:val="7030A0"/>
        </w:rPr>
      </w:pPr>
      <w:r w:rsidRPr="00E806A5">
        <w:rPr>
          <w:rFonts w:ascii="Arial" w:hAnsi="Arial" w:cs="Arial"/>
          <w:color w:val="7030A0"/>
        </w:rPr>
        <w:t>-</w:t>
      </w:r>
      <w:r w:rsidRPr="00E806A5">
        <w:rPr>
          <w:rFonts w:ascii="Arial" w:hAnsi="Arial" w:cs="Arial"/>
          <w:color w:val="7030A0"/>
        </w:rPr>
        <w:tab/>
        <w:t>Resonancia magnética (RM) con contraste del cerebro, sólo en caso de sospecha de lesión intracraneana, defectos de línea media, déficit de GH o hipopituitarismo. Por lo que es apropiada para niños con deficiencia de hormona de crecimiento establecida o en aquellos con signos o síntomas que sugieren disfunción hipotalámica-hipofisaria (por ejemplo, hipoglucemia, micropene, criptorquidia, displasia septo óptica, tumor intracraneal), o historia de irradiación craneal) (1).</w:t>
      </w:r>
    </w:p>
    <w:p w14:paraId="6CF3021C" w14:textId="7DDA684F" w:rsidR="00E806A5" w:rsidRDefault="00E806A5" w:rsidP="00E806A5">
      <w:pPr>
        <w:spacing w:after="0" w:line="360" w:lineRule="auto"/>
        <w:jc w:val="both"/>
        <w:rPr>
          <w:rFonts w:ascii="Arial" w:hAnsi="Arial" w:cs="Arial"/>
          <w:color w:val="7030A0"/>
        </w:rPr>
      </w:pPr>
      <w:r w:rsidRPr="00E806A5">
        <w:rPr>
          <w:rFonts w:ascii="Arial" w:hAnsi="Arial" w:cs="Arial"/>
          <w:color w:val="7030A0"/>
        </w:rPr>
        <w:t>-</w:t>
      </w:r>
      <w:r w:rsidRPr="00E806A5">
        <w:rPr>
          <w:rFonts w:ascii="Arial" w:hAnsi="Arial" w:cs="Arial"/>
          <w:color w:val="7030A0"/>
        </w:rPr>
        <w:tab/>
        <w:t>Radiografía del esqueleto, debe solicitarse siempre dentro del estudio de un paciente con talla baja desproporcionada con el fin de descartar una displasia esquelética. El estudio radiológico debe incluir cráneo (proyección AP y lateral), columna total (AP y lateral), tórax (AP), pelvis (AP), huesos largos (AP), manos y pies (AP) (5,7).Algunos de los hallazgos posibles de encontrar son craneosinostosis, platispondilia (en osteogénesis imperfecta), el estrechamiento de la distancia interpeduncular caudal de la columna (en la hipocondroplasia), retraso de osificación de huesos púbicos (condrodistrofia neonatal), la deformidad de Madelung (incurvamiento del radio y subluxación cubital distal observada en la discondrosteosis de Leri-Weill), entre otras (5).</w:t>
      </w:r>
    </w:p>
    <w:p w14:paraId="50BAC6DC" w14:textId="77777777" w:rsidR="00846A83" w:rsidRPr="00305AD4" w:rsidRDefault="00846A83" w:rsidP="009B17B3">
      <w:pPr>
        <w:spacing w:after="0" w:line="360" w:lineRule="auto"/>
        <w:jc w:val="both"/>
        <w:rPr>
          <w:rFonts w:ascii="Arial" w:hAnsi="Arial" w:cs="Arial"/>
          <w:color w:val="7030A0"/>
        </w:rPr>
      </w:pPr>
    </w:p>
    <w:p w14:paraId="286BC4C8" w14:textId="77777777" w:rsidR="00305AD4" w:rsidRDefault="00305AD4" w:rsidP="009B17B3">
      <w:pPr>
        <w:spacing w:after="0" w:line="360" w:lineRule="auto"/>
        <w:jc w:val="both"/>
        <w:rPr>
          <w:rFonts w:ascii="Arial" w:hAnsi="Arial" w:cs="Arial"/>
        </w:rPr>
      </w:pPr>
    </w:p>
    <w:p w14:paraId="496904D9" w14:textId="77777777" w:rsidR="00B00250" w:rsidRDefault="00186C4B" w:rsidP="009B17B3">
      <w:pPr>
        <w:spacing w:after="0" w:line="360" w:lineRule="auto"/>
        <w:jc w:val="both"/>
        <w:rPr>
          <w:rFonts w:ascii="Arial" w:hAnsi="Arial" w:cs="Arial"/>
        </w:rPr>
      </w:pPr>
      <w:r>
        <w:rPr>
          <w:rFonts w:ascii="Arial" w:hAnsi="Arial" w:cs="Arial"/>
        </w:rPr>
        <w:t>5.4. Tratamiento oportuno</w:t>
      </w:r>
    </w:p>
    <w:p w14:paraId="5CEBCAA7" w14:textId="77777777" w:rsidR="0038086F" w:rsidRDefault="0038086F" w:rsidP="009B17B3">
      <w:pPr>
        <w:spacing w:after="0" w:line="360" w:lineRule="auto"/>
        <w:jc w:val="both"/>
        <w:rPr>
          <w:rFonts w:ascii="Arial" w:hAnsi="Arial" w:cs="Arial"/>
          <w:color w:val="7030A0"/>
        </w:rPr>
      </w:pPr>
    </w:p>
    <w:p w14:paraId="5CCA4FFE" w14:textId="77777777" w:rsidR="0038086F" w:rsidRDefault="0038086F" w:rsidP="009B17B3">
      <w:pPr>
        <w:spacing w:after="0" w:line="360" w:lineRule="auto"/>
        <w:jc w:val="both"/>
        <w:rPr>
          <w:rFonts w:ascii="Arial" w:hAnsi="Arial" w:cs="Arial"/>
          <w:color w:val="7030A0"/>
        </w:rPr>
      </w:pPr>
    </w:p>
    <w:p w14:paraId="586BAF9E" w14:textId="77777777" w:rsidR="0038086F" w:rsidRPr="00D25847" w:rsidRDefault="0038086F" w:rsidP="0038086F">
      <w:pPr>
        <w:spacing w:after="0" w:line="360" w:lineRule="auto"/>
        <w:jc w:val="both"/>
        <w:rPr>
          <w:rFonts w:ascii="Arial" w:hAnsi="Arial" w:cs="Arial"/>
          <w:i/>
          <w:iCs/>
          <w:color w:val="7030A0"/>
          <w:lang w:val="es-ES"/>
        </w:rPr>
      </w:pPr>
      <w:r>
        <w:rPr>
          <w:rFonts w:ascii="Arial" w:hAnsi="Arial" w:cs="Arial"/>
          <w:i/>
          <w:iCs/>
          <w:color w:val="7030A0"/>
          <w:lang w:val="es-ES"/>
        </w:rPr>
        <w:t>Tratamiento farmacológico</w:t>
      </w:r>
    </w:p>
    <w:p w14:paraId="363D3344" w14:textId="77777777" w:rsidR="0038086F" w:rsidRDefault="0038086F" w:rsidP="0038086F">
      <w:pPr>
        <w:spacing w:after="0" w:line="360" w:lineRule="auto"/>
        <w:jc w:val="both"/>
        <w:rPr>
          <w:rFonts w:ascii="Arial" w:hAnsi="Arial" w:cs="Arial"/>
          <w:color w:val="7030A0"/>
          <w:lang w:val="es-ES"/>
        </w:rPr>
      </w:pPr>
      <w:r w:rsidRPr="00BE621E">
        <w:rPr>
          <w:rFonts w:ascii="Arial" w:hAnsi="Arial" w:cs="Arial"/>
          <w:color w:val="7030A0"/>
          <w:lang w:val="es-ES"/>
        </w:rPr>
        <w:t>De reemplazo hormonal DR. DEL AGUILA</w:t>
      </w:r>
      <w:r>
        <w:rPr>
          <w:rFonts w:ascii="Arial" w:hAnsi="Arial" w:cs="Arial"/>
          <w:color w:val="7030A0"/>
          <w:lang w:val="es-ES"/>
        </w:rPr>
        <w:t xml:space="preserve">. </w:t>
      </w:r>
      <w:commentRangeStart w:id="7"/>
      <w:r>
        <w:rPr>
          <w:rFonts w:ascii="Arial" w:hAnsi="Arial" w:cs="Arial"/>
          <w:color w:val="7030A0"/>
          <w:lang w:val="es-ES"/>
        </w:rPr>
        <w:t xml:space="preserve">En pacientes que presenten variantes puntuales o en el número de copias en el gen </w:t>
      </w:r>
      <w:r w:rsidRPr="00D25847">
        <w:rPr>
          <w:rFonts w:ascii="Arial" w:hAnsi="Arial" w:cs="Arial"/>
          <w:i/>
          <w:iCs/>
          <w:color w:val="7030A0"/>
          <w:lang w:val="es-ES"/>
        </w:rPr>
        <w:t>SHOX</w:t>
      </w:r>
      <w:r>
        <w:rPr>
          <w:rFonts w:ascii="Arial" w:hAnsi="Arial" w:cs="Arial"/>
          <w:color w:val="7030A0"/>
          <w:lang w:val="es-ES"/>
        </w:rPr>
        <w:t>.</w:t>
      </w:r>
      <w:commentRangeEnd w:id="7"/>
      <w:r>
        <w:rPr>
          <w:rStyle w:val="Refdecomentario"/>
        </w:rPr>
        <w:commentReference w:id="7"/>
      </w:r>
    </w:p>
    <w:p w14:paraId="64E47CA3" w14:textId="77777777" w:rsidR="0038086F" w:rsidRDefault="0038086F" w:rsidP="0038086F">
      <w:pPr>
        <w:spacing w:after="0" w:line="360" w:lineRule="auto"/>
        <w:jc w:val="both"/>
        <w:rPr>
          <w:rFonts w:ascii="Arial" w:hAnsi="Arial" w:cs="Arial"/>
          <w:color w:val="7030A0"/>
          <w:lang w:val="es-ES"/>
        </w:rPr>
      </w:pPr>
      <w:commentRangeStart w:id="8"/>
      <w:commentRangeStart w:id="9"/>
      <w:r>
        <w:rPr>
          <w:rFonts w:ascii="Arial" w:hAnsi="Arial" w:cs="Arial"/>
          <w:color w:val="7030A0"/>
          <w:lang w:val="es-ES"/>
        </w:rPr>
        <w:t>Bifosfonatos: Se ha demostrado el beneficio en pacientes con diagnóstico confirmado de osteogénesis imperfecta.</w:t>
      </w:r>
      <w:commentRangeEnd w:id="8"/>
      <w:r>
        <w:rPr>
          <w:rStyle w:val="Refdecomentario"/>
        </w:rPr>
        <w:commentReference w:id="8"/>
      </w:r>
      <w:commentRangeEnd w:id="9"/>
      <w:r>
        <w:rPr>
          <w:rStyle w:val="Refdecomentario"/>
        </w:rPr>
        <w:commentReference w:id="9"/>
      </w:r>
    </w:p>
    <w:p w14:paraId="2C8E5740" w14:textId="77777777" w:rsidR="0038086F" w:rsidRDefault="0038086F" w:rsidP="0038086F">
      <w:pPr>
        <w:spacing w:after="0" w:line="360" w:lineRule="auto"/>
        <w:jc w:val="both"/>
        <w:rPr>
          <w:rFonts w:ascii="Arial" w:hAnsi="Arial" w:cs="Arial"/>
          <w:color w:val="7030A0"/>
          <w:lang w:val="es-ES"/>
        </w:rPr>
      </w:pPr>
      <w:r>
        <w:rPr>
          <w:rFonts w:ascii="Arial" w:hAnsi="Arial" w:cs="Arial"/>
          <w:color w:val="7030A0"/>
          <w:lang w:val="es-ES"/>
        </w:rPr>
        <w:t xml:space="preserve">Terapia de reemplazo enzimático: No todos las TRE han modificado el crecimiento en las diferentes entidades que son utilizados estas terapias, excepto en la hipofostasia. En las otras entidades han mejorado otros ítems como en la prueba de la caminata de 6 minutos, función pulmonar, masa ventricular, </w:t>
      </w:r>
      <w:commentRangeStart w:id="10"/>
      <w:r>
        <w:rPr>
          <w:rFonts w:ascii="Arial" w:hAnsi="Arial" w:cs="Arial"/>
          <w:color w:val="7030A0"/>
          <w:lang w:val="es-ES"/>
        </w:rPr>
        <w:t>hepatoesplenomegalia</w:t>
      </w:r>
      <w:commentRangeEnd w:id="10"/>
      <w:r>
        <w:rPr>
          <w:rFonts w:ascii="Arial" w:hAnsi="Arial" w:cs="Arial"/>
          <w:color w:val="7030A0"/>
          <w:lang w:val="es-ES"/>
        </w:rPr>
        <w:t xml:space="preserve"> y la disminución de los GAGs</w:t>
      </w:r>
      <w:r>
        <w:rPr>
          <w:rStyle w:val="Refdecomentario"/>
        </w:rPr>
        <w:commentReference w:id="10"/>
      </w:r>
      <w:r>
        <w:rPr>
          <w:rFonts w:ascii="Arial" w:hAnsi="Arial" w:cs="Arial"/>
          <w:color w:val="7030A0"/>
          <w:lang w:val="es-ES"/>
        </w:rPr>
        <w:t>.</w:t>
      </w:r>
    </w:p>
    <w:p w14:paraId="45E2B5C0" w14:textId="77777777" w:rsidR="00936CBB" w:rsidRDefault="00936CBB" w:rsidP="0038086F">
      <w:pPr>
        <w:spacing w:after="0" w:line="360" w:lineRule="auto"/>
        <w:jc w:val="both"/>
        <w:rPr>
          <w:rFonts w:ascii="Arial" w:hAnsi="Arial" w:cs="Arial"/>
          <w:color w:val="7030A0"/>
          <w:lang w:val="es-ES"/>
        </w:rPr>
      </w:pPr>
    </w:p>
    <w:p w14:paraId="71326A61" w14:textId="6A8AE16F" w:rsidR="00936CBB" w:rsidRDefault="00936CBB" w:rsidP="0038086F">
      <w:pPr>
        <w:spacing w:after="0" w:line="360" w:lineRule="auto"/>
        <w:jc w:val="both"/>
        <w:rPr>
          <w:rFonts w:ascii="Arial" w:hAnsi="Arial" w:cs="Arial"/>
          <w:color w:val="7030A0"/>
          <w:lang w:val="es-ES"/>
        </w:rPr>
      </w:pPr>
      <w:r w:rsidRPr="00936CBB">
        <w:rPr>
          <w:rFonts w:ascii="Arial" w:hAnsi="Arial" w:cs="Arial"/>
          <w:color w:val="7030A0"/>
          <w:lang w:val="es-ES"/>
        </w:rPr>
        <w:t>La terapia de reemplazo hormonal será aplicado por el especialista según el caso</w:t>
      </w:r>
    </w:p>
    <w:p w14:paraId="6CF73CD5" w14:textId="77777777" w:rsidR="00936CBB" w:rsidRDefault="00936CBB" w:rsidP="0038086F">
      <w:pPr>
        <w:spacing w:after="0" w:line="360" w:lineRule="auto"/>
        <w:jc w:val="both"/>
        <w:rPr>
          <w:rFonts w:ascii="Arial" w:hAnsi="Arial" w:cs="Arial"/>
          <w:color w:val="7030A0"/>
          <w:lang w:val="es-ES"/>
        </w:rPr>
      </w:pPr>
    </w:p>
    <w:p w14:paraId="63E5AB97" w14:textId="77777777" w:rsidR="00936CBB" w:rsidRPr="00BE621E" w:rsidRDefault="00936CBB" w:rsidP="0038086F">
      <w:pPr>
        <w:spacing w:after="0" w:line="360" w:lineRule="auto"/>
        <w:jc w:val="both"/>
        <w:rPr>
          <w:rFonts w:ascii="Arial" w:hAnsi="Arial" w:cs="Arial"/>
          <w:color w:val="7030A0"/>
          <w:lang w:val="es-ES"/>
        </w:rPr>
      </w:pPr>
    </w:p>
    <w:p w14:paraId="6BB60A83" w14:textId="77777777" w:rsidR="0038086F" w:rsidRPr="00D25847" w:rsidRDefault="0038086F" w:rsidP="0038086F">
      <w:pPr>
        <w:spacing w:after="0" w:line="360" w:lineRule="auto"/>
        <w:jc w:val="both"/>
        <w:rPr>
          <w:rFonts w:ascii="Arial" w:hAnsi="Arial" w:cs="Arial"/>
          <w:i/>
          <w:iCs/>
          <w:color w:val="7030A0"/>
        </w:rPr>
      </w:pPr>
      <w:commentRangeStart w:id="11"/>
      <w:r w:rsidRPr="00D25847">
        <w:rPr>
          <w:rFonts w:ascii="Arial" w:hAnsi="Arial" w:cs="Arial"/>
          <w:i/>
          <w:iCs/>
          <w:color w:val="7030A0"/>
          <w:lang w:val="es-ES"/>
        </w:rPr>
        <w:t>Quirúrgico</w:t>
      </w:r>
      <w:commentRangeEnd w:id="11"/>
      <w:r w:rsidRPr="00D25847">
        <w:rPr>
          <w:rStyle w:val="Refdecomentario"/>
          <w:i/>
          <w:iCs/>
        </w:rPr>
        <w:commentReference w:id="11"/>
      </w:r>
    </w:p>
    <w:p w14:paraId="41BE42BE" w14:textId="77777777" w:rsidR="0038086F" w:rsidRDefault="0038086F" w:rsidP="0038086F">
      <w:pPr>
        <w:spacing w:after="0" w:line="360" w:lineRule="auto"/>
        <w:jc w:val="both"/>
        <w:rPr>
          <w:rFonts w:ascii="Arial" w:hAnsi="Arial" w:cs="Arial"/>
          <w:color w:val="7030A0"/>
          <w:lang w:val="es-ES"/>
        </w:rPr>
      </w:pPr>
      <w:r>
        <w:rPr>
          <w:rFonts w:ascii="Arial" w:hAnsi="Arial" w:cs="Arial"/>
          <w:color w:val="7030A0"/>
          <w:lang w:val="es-ES"/>
        </w:rPr>
        <w:t xml:space="preserve">Se puede utilizar el procedimiento de alargamiento óseo en pacientes con displasia esquelética que podría ser a partir de los cinco años. </w:t>
      </w:r>
    </w:p>
    <w:p w14:paraId="5C940B50" w14:textId="77777777" w:rsidR="00717C4A" w:rsidRDefault="00717C4A" w:rsidP="0038086F">
      <w:pPr>
        <w:spacing w:after="0" w:line="360" w:lineRule="auto"/>
        <w:jc w:val="both"/>
        <w:rPr>
          <w:rFonts w:ascii="Arial" w:hAnsi="Arial" w:cs="Arial"/>
          <w:color w:val="7030A0"/>
          <w:lang w:val="es-ES"/>
        </w:rPr>
      </w:pPr>
    </w:p>
    <w:p w14:paraId="3B13564E" w14:textId="77777777" w:rsidR="00186C4B" w:rsidRPr="0038086F" w:rsidRDefault="00186C4B" w:rsidP="009B17B3">
      <w:pPr>
        <w:spacing w:after="0" w:line="360" w:lineRule="auto"/>
        <w:jc w:val="both"/>
        <w:rPr>
          <w:rFonts w:ascii="Arial" w:hAnsi="Arial" w:cs="Arial"/>
          <w:lang w:val="es-ES"/>
        </w:rPr>
      </w:pPr>
    </w:p>
    <w:p w14:paraId="6FE2BBA9" w14:textId="77777777" w:rsidR="002968BA" w:rsidRDefault="002968BA" w:rsidP="009B17B3">
      <w:pPr>
        <w:spacing w:after="0" w:line="360" w:lineRule="auto"/>
        <w:jc w:val="both"/>
        <w:rPr>
          <w:rFonts w:ascii="Arial" w:hAnsi="Arial" w:cs="Arial"/>
        </w:rPr>
      </w:pPr>
      <w:r>
        <w:rPr>
          <w:rFonts w:ascii="Arial" w:hAnsi="Arial" w:cs="Arial"/>
        </w:rPr>
        <w:t>5.</w:t>
      </w:r>
      <w:r w:rsidR="00186C4B">
        <w:rPr>
          <w:rFonts w:ascii="Arial" w:hAnsi="Arial" w:cs="Arial"/>
        </w:rPr>
        <w:t>5</w:t>
      </w:r>
      <w:r>
        <w:rPr>
          <w:rFonts w:ascii="Arial" w:hAnsi="Arial" w:cs="Arial"/>
        </w:rPr>
        <w:t>. Rehabilitación</w:t>
      </w:r>
      <w:r w:rsidR="00A11568">
        <w:rPr>
          <w:rFonts w:ascii="Arial" w:hAnsi="Arial" w:cs="Arial"/>
        </w:rPr>
        <w:t xml:space="preserve"> </w:t>
      </w:r>
      <w:r w:rsidR="00A11568" w:rsidRPr="00A11568">
        <w:rPr>
          <w:rFonts w:ascii="Arial" w:hAnsi="Arial" w:cs="Arial"/>
          <w:color w:val="7030A0"/>
        </w:rPr>
        <w:t>(DRA. RENGIFO)</w:t>
      </w:r>
    </w:p>
    <w:p w14:paraId="68462D9D" w14:textId="77777777" w:rsidR="008A5354" w:rsidRDefault="008A5354" w:rsidP="009B17B3">
      <w:pPr>
        <w:spacing w:after="0" w:line="360" w:lineRule="auto"/>
        <w:jc w:val="both"/>
        <w:rPr>
          <w:rFonts w:ascii="Arial" w:hAnsi="Arial" w:cs="Arial"/>
          <w:color w:val="7030A0"/>
        </w:rPr>
      </w:pPr>
    </w:p>
    <w:p w14:paraId="6750DD8A" w14:textId="77777777" w:rsidR="008A5354" w:rsidRPr="009A31D5" w:rsidRDefault="008A5354" w:rsidP="009B17B3">
      <w:pPr>
        <w:spacing w:after="0" w:line="360" w:lineRule="auto"/>
        <w:jc w:val="both"/>
        <w:rPr>
          <w:rFonts w:ascii="Arial" w:hAnsi="Arial" w:cs="Arial"/>
        </w:rPr>
      </w:pPr>
      <w:r w:rsidRPr="009A31D5">
        <w:rPr>
          <w:rFonts w:ascii="Arial" w:hAnsi="Arial" w:cs="Arial"/>
        </w:rPr>
        <w:t>5.5.1.  De la evaluación inicial</w:t>
      </w:r>
    </w:p>
    <w:p w14:paraId="244FDA7D" w14:textId="77777777" w:rsidR="006223D5" w:rsidRPr="00FE444E" w:rsidRDefault="009D168A" w:rsidP="00FE444E">
      <w:pPr>
        <w:pStyle w:val="Prrafodelista"/>
        <w:numPr>
          <w:ilvl w:val="0"/>
          <w:numId w:val="5"/>
        </w:numPr>
        <w:spacing w:after="0" w:line="360" w:lineRule="auto"/>
        <w:jc w:val="both"/>
        <w:rPr>
          <w:rFonts w:ascii="Arial" w:hAnsi="Arial" w:cs="Arial"/>
          <w:color w:val="7030A0"/>
        </w:rPr>
      </w:pPr>
      <w:r w:rsidRPr="00FE444E">
        <w:rPr>
          <w:rFonts w:ascii="Arial" w:hAnsi="Arial" w:cs="Arial"/>
          <w:color w:val="7030A0"/>
        </w:rPr>
        <w:t xml:space="preserve">Toda persona con diagnóstico de talla baja </w:t>
      </w:r>
      <w:r w:rsidRPr="00851921">
        <w:rPr>
          <w:rFonts w:ascii="Arial" w:hAnsi="Arial" w:cs="Arial"/>
          <w:color w:val="ED7D31" w:themeColor="accent2"/>
        </w:rPr>
        <w:t>extrema</w:t>
      </w:r>
      <w:r w:rsidR="001C4398" w:rsidRPr="00851921">
        <w:rPr>
          <w:rFonts w:ascii="Arial" w:hAnsi="Arial" w:cs="Arial"/>
          <w:color w:val="ED7D31" w:themeColor="accent2"/>
        </w:rPr>
        <w:t xml:space="preserve"> y sindrómica</w:t>
      </w:r>
      <w:r w:rsidRPr="00FE444E">
        <w:rPr>
          <w:rFonts w:ascii="Arial" w:hAnsi="Arial" w:cs="Arial"/>
          <w:color w:val="7030A0"/>
        </w:rPr>
        <w:t xml:space="preserve">, deberá ser evaluada por el </w:t>
      </w:r>
      <w:r w:rsidR="004C2CA0" w:rsidRPr="00FE444E">
        <w:rPr>
          <w:rFonts w:ascii="Arial" w:hAnsi="Arial" w:cs="Arial"/>
          <w:color w:val="7030A0"/>
        </w:rPr>
        <w:t xml:space="preserve">médico </w:t>
      </w:r>
      <w:r w:rsidRPr="00FE444E">
        <w:rPr>
          <w:rFonts w:ascii="Arial" w:hAnsi="Arial" w:cs="Arial"/>
          <w:color w:val="7030A0"/>
        </w:rPr>
        <w:t>especialista en M</w:t>
      </w:r>
      <w:r w:rsidR="004C2CA0" w:rsidRPr="00FE444E">
        <w:rPr>
          <w:rFonts w:ascii="Arial" w:hAnsi="Arial" w:cs="Arial"/>
          <w:color w:val="7030A0"/>
        </w:rPr>
        <w:t>edicina Física y Rehabilitación, quien</w:t>
      </w:r>
      <w:r w:rsidR="000051F6" w:rsidRPr="00FE444E">
        <w:rPr>
          <w:rFonts w:ascii="Arial" w:hAnsi="Arial" w:cs="Arial"/>
          <w:color w:val="7030A0"/>
        </w:rPr>
        <w:t xml:space="preserve"> incluirá dentro de la evaluación integral: </w:t>
      </w:r>
      <w:r w:rsidR="0045727E">
        <w:rPr>
          <w:rFonts w:ascii="Arial" w:hAnsi="Arial" w:cs="Arial"/>
          <w:color w:val="7030A0"/>
        </w:rPr>
        <w:t>desarrollo neuromotriz, e</w:t>
      </w:r>
      <w:r w:rsidR="000051F6" w:rsidRPr="00FE444E">
        <w:rPr>
          <w:rFonts w:ascii="Arial" w:hAnsi="Arial" w:cs="Arial"/>
          <w:color w:val="7030A0"/>
        </w:rPr>
        <w:t>valuación de la marcha, rangos articulares, fuerza muscular,</w:t>
      </w:r>
      <w:r w:rsidR="006B67EC" w:rsidRPr="00FE444E">
        <w:rPr>
          <w:rFonts w:ascii="Arial" w:hAnsi="Arial" w:cs="Arial"/>
          <w:color w:val="7030A0"/>
        </w:rPr>
        <w:t xml:space="preserve"> </w:t>
      </w:r>
      <w:r w:rsidR="0060527A" w:rsidRPr="00FE444E">
        <w:rPr>
          <w:rFonts w:ascii="Arial" w:hAnsi="Arial" w:cs="Arial"/>
          <w:color w:val="7030A0"/>
        </w:rPr>
        <w:t>descarte de</w:t>
      </w:r>
      <w:r w:rsidR="00EC445A" w:rsidRPr="00FE444E">
        <w:rPr>
          <w:rFonts w:ascii="Arial" w:hAnsi="Arial" w:cs="Arial"/>
          <w:color w:val="7030A0"/>
        </w:rPr>
        <w:t xml:space="preserve"> </w:t>
      </w:r>
      <w:r w:rsidR="000051F6" w:rsidRPr="00FE444E">
        <w:rPr>
          <w:rFonts w:ascii="Arial" w:hAnsi="Arial" w:cs="Arial"/>
          <w:color w:val="7030A0"/>
        </w:rPr>
        <w:t>complicaciones músculoesqueléticas</w:t>
      </w:r>
      <w:r w:rsidR="0060527A" w:rsidRPr="00FE444E">
        <w:rPr>
          <w:rFonts w:ascii="Arial" w:hAnsi="Arial" w:cs="Arial"/>
          <w:color w:val="7030A0"/>
        </w:rPr>
        <w:t xml:space="preserve"> y neurológicas</w:t>
      </w:r>
      <w:r w:rsidR="005B217A" w:rsidRPr="00FE444E">
        <w:rPr>
          <w:rFonts w:ascii="Arial" w:hAnsi="Arial" w:cs="Arial"/>
          <w:color w:val="7030A0"/>
        </w:rPr>
        <w:t>;</w:t>
      </w:r>
      <w:r w:rsidR="000051F6" w:rsidRPr="00FE444E">
        <w:rPr>
          <w:rFonts w:ascii="Arial" w:hAnsi="Arial" w:cs="Arial"/>
          <w:color w:val="7030A0"/>
        </w:rPr>
        <w:t xml:space="preserve"> además de evaluación cognitiva y de lenguaje, para hacer el diagnóstico de </w:t>
      </w:r>
      <w:r w:rsidR="00265B2B" w:rsidRPr="00FE444E">
        <w:rPr>
          <w:rFonts w:ascii="Arial" w:hAnsi="Arial" w:cs="Arial"/>
          <w:color w:val="7030A0"/>
        </w:rPr>
        <w:t>rehabilitación correspondiente.</w:t>
      </w:r>
    </w:p>
    <w:p w14:paraId="267DC1B5" w14:textId="77777777" w:rsidR="00265B2B" w:rsidRPr="00947FCF" w:rsidRDefault="00265B2B" w:rsidP="00947FCF">
      <w:pPr>
        <w:pStyle w:val="Prrafodelista"/>
        <w:numPr>
          <w:ilvl w:val="0"/>
          <w:numId w:val="5"/>
        </w:numPr>
        <w:spacing w:after="0" w:line="360" w:lineRule="auto"/>
        <w:jc w:val="both"/>
        <w:rPr>
          <w:rFonts w:ascii="Arial" w:hAnsi="Arial" w:cs="Arial"/>
          <w:color w:val="7030A0"/>
        </w:rPr>
      </w:pPr>
      <w:r w:rsidRPr="00947FCF">
        <w:rPr>
          <w:rFonts w:ascii="Arial" w:hAnsi="Arial" w:cs="Arial"/>
          <w:color w:val="7030A0"/>
        </w:rPr>
        <w:t xml:space="preserve">En </w:t>
      </w:r>
      <w:r w:rsidR="00EC445A">
        <w:rPr>
          <w:rFonts w:ascii="Arial" w:hAnsi="Arial" w:cs="Arial"/>
          <w:color w:val="7030A0"/>
        </w:rPr>
        <w:t>la evaluación de complicaciones</w:t>
      </w:r>
      <w:r w:rsidRPr="00947FCF">
        <w:rPr>
          <w:rFonts w:ascii="Arial" w:hAnsi="Arial" w:cs="Arial"/>
          <w:color w:val="7030A0"/>
        </w:rPr>
        <w:t xml:space="preserve"> músculoesqueléticas </w:t>
      </w:r>
      <w:r w:rsidR="00DC5465">
        <w:rPr>
          <w:rFonts w:ascii="Arial" w:hAnsi="Arial" w:cs="Arial"/>
          <w:color w:val="7030A0"/>
        </w:rPr>
        <w:t xml:space="preserve">y neurológicas </w:t>
      </w:r>
      <w:r w:rsidRPr="00947FCF">
        <w:rPr>
          <w:rFonts w:ascii="Arial" w:hAnsi="Arial" w:cs="Arial"/>
          <w:color w:val="7030A0"/>
        </w:rPr>
        <w:t xml:space="preserve">se debe hacer énfasis en la </w:t>
      </w:r>
      <w:r w:rsidR="006B67EC">
        <w:rPr>
          <w:rFonts w:ascii="Arial" w:hAnsi="Arial" w:cs="Arial"/>
          <w:color w:val="7030A0"/>
        </w:rPr>
        <w:t>búsqueda</w:t>
      </w:r>
      <w:r w:rsidRPr="00947FCF">
        <w:rPr>
          <w:rFonts w:ascii="Arial" w:hAnsi="Arial" w:cs="Arial"/>
          <w:color w:val="7030A0"/>
        </w:rPr>
        <w:t xml:space="preserve"> de deformidades de la columna vertebral, deformidades torsionales y angulares de extremidades, y </w:t>
      </w:r>
      <w:r w:rsidR="001B5CAD" w:rsidRPr="00947FCF">
        <w:rPr>
          <w:rFonts w:ascii="Arial" w:hAnsi="Arial" w:cs="Arial"/>
          <w:color w:val="7030A0"/>
        </w:rPr>
        <w:t>prensión</w:t>
      </w:r>
      <w:r w:rsidR="00CC63C8">
        <w:rPr>
          <w:rFonts w:ascii="Arial" w:hAnsi="Arial" w:cs="Arial"/>
          <w:color w:val="7030A0"/>
        </w:rPr>
        <w:t xml:space="preserve"> manual</w:t>
      </w:r>
      <w:r w:rsidR="00DC5465">
        <w:rPr>
          <w:rFonts w:ascii="Arial" w:hAnsi="Arial" w:cs="Arial"/>
          <w:color w:val="7030A0"/>
        </w:rPr>
        <w:t xml:space="preserve">; así como </w:t>
      </w:r>
      <w:r w:rsidR="00170E22">
        <w:rPr>
          <w:rFonts w:ascii="Arial" w:hAnsi="Arial" w:cs="Arial"/>
          <w:color w:val="7030A0"/>
        </w:rPr>
        <w:t>signos sugestivos de compresión medular.</w:t>
      </w:r>
    </w:p>
    <w:p w14:paraId="417CFD7E" w14:textId="77777777" w:rsidR="000051F6" w:rsidRDefault="000051F6" w:rsidP="009B17B3">
      <w:pPr>
        <w:spacing w:after="0" w:line="360" w:lineRule="auto"/>
        <w:jc w:val="both"/>
        <w:rPr>
          <w:rFonts w:ascii="Arial" w:hAnsi="Arial" w:cs="Arial"/>
          <w:color w:val="7030A0"/>
        </w:rPr>
      </w:pPr>
    </w:p>
    <w:p w14:paraId="7315A236" w14:textId="77777777" w:rsidR="008A5354" w:rsidRPr="009A31D5" w:rsidRDefault="008A5354" w:rsidP="008A5354">
      <w:pPr>
        <w:spacing w:after="0" w:line="360" w:lineRule="auto"/>
        <w:ind w:left="708" w:hanging="708"/>
        <w:jc w:val="both"/>
        <w:rPr>
          <w:rFonts w:ascii="Arial" w:hAnsi="Arial" w:cs="Arial"/>
        </w:rPr>
      </w:pPr>
      <w:r w:rsidRPr="009A31D5">
        <w:rPr>
          <w:rFonts w:ascii="Arial" w:hAnsi="Arial" w:cs="Arial"/>
        </w:rPr>
        <w:lastRenderedPageBreak/>
        <w:t>5.5.2.</w:t>
      </w:r>
      <w:r w:rsidR="00E85212" w:rsidRPr="009A31D5">
        <w:rPr>
          <w:rFonts w:ascii="Arial" w:hAnsi="Arial" w:cs="Arial"/>
        </w:rPr>
        <w:t xml:space="preserve"> De la indicación del tratamiento </w:t>
      </w:r>
    </w:p>
    <w:p w14:paraId="1FFCF0D9" w14:textId="77777777" w:rsidR="0043298B" w:rsidRPr="00502ECC" w:rsidRDefault="0043298B" w:rsidP="00502ECC">
      <w:pPr>
        <w:pStyle w:val="Prrafodelista"/>
        <w:numPr>
          <w:ilvl w:val="0"/>
          <w:numId w:val="6"/>
        </w:numPr>
        <w:spacing w:after="0" w:line="360" w:lineRule="auto"/>
        <w:jc w:val="both"/>
        <w:rPr>
          <w:rFonts w:ascii="Arial" w:hAnsi="Arial" w:cs="Arial"/>
          <w:color w:val="7030A0"/>
        </w:rPr>
      </w:pPr>
      <w:r w:rsidRPr="00502ECC">
        <w:rPr>
          <w:rFonts w:ascii="Arial" w:hAnsi="Arial" w:cs="Arial"/>
          <w:color w:val="7030A0"/>
        </w:rPr>
        <w:t xml:space="preserve">El manejo </w:t>
      </w:r>
      <w:r w:rsidR="003C6A99" w:rsidRPr="00502ECC">
        <w:rPr>
          <w:rFonts w:ascii="Arial" w:hAnsi="Arial" w:cs="Arial"/>
          <w:color w:val="7030A0"/>
        </w:rPr>
        <w:t xml:space="preserve">rehabiblitador </w:t>
      </w:r>
      <w:r w:rsidR="00441BA2" w:rsidRPr="00502ECC">
        <w:rPr>
          <w:rFonts w:ascii="Arial" w:hAnsi="Arial" w:cs="Arial"/>
          <w:color w:val="7030A0"/>
        </w:rPr>
        <w:t xml:space="preserve">del paciente </w:t>
      </w:r>
      <w:r w:rsidR="00F02827" w:rsidRPr="00502ECC">
        <w:rPr>
          <w:rFonts w:ascii="Arial" w:hAnsi="Arial" w:cs="Arial"/>
          <w:color w:val="7030A0"/>
        </w:rPr>
        <w:t>debe</w:t>
      </w:r>
      <w:r w:rsidRPr="00502ECC">
        <w:rPr>
          <w:rFonts w:ascii="Arial" w:hAnsi="Arial" w:cs="Arial"/>
          <w:color w:val="7030A0"/>
        </w:rPr>
        <w:t xml:space="preserve"> ser integral, a cargo del equipo multidisciplinario de rehabilitación.</w:t>
      </w:r>
    </w:p>
    <w:p w14:paraId="45B078CB" w14:textId="77777777" w:rsidR="000051F6" w:rsidRDefault="000051F6" w:rsidP="00502ECC">
      <w:pPr>
        <w:pStyle w:val="Prrafodelista"/>
        <w:numPr>
          <w:ilvl w:val="0"/>
          <w:numId w:val="6"/>
        </w:numPr>
        <w:spacing w:after="0" w:line="360" w:lineRule="auto"/>
        <w:jc w:val="both"/>
        <w:rPr>
          <w:rFonts w:ascii="Arial" w:hAnsi="Arial" w:cs="Arial"/>
          <w:color w:val="7030A0"/>
        </w:rPr>
      </w:pPr>
      <w:r w:rsidRPr="00502ECC">
        <w:rPr>
          <w:rFonts w:ascii="Arial" w:hAnsi="Arial" w:cs="Arial"/>
          <w:color w:val="7030A0"/>
        </w:rPr>
        <w:t>El médico especialista en Medicina Física y Rehabili</w:t>
      </w:r>
      <w:r w:rsidR="0043298B" w:rsidRPr="00502ECC">
        <w:rPr>
          <w:rFonts w:ascii="Arial" w:hAnsi="Arial" w:cs="Arial"/>
          <w:color w:val="7030A0"/>
        </w:rPr>
        <w:t xml:space="preserve">tación es el responsable de </w:t>
      </w:r>
      <w:r w:rsidRPr="00502ECC">
        <w:rPr>
          <w:rFonts w:ascii="Arial" w:hAnsi="Arial" w:cs="Arial"/>
          <w:color w:val="7030A0"/>
        </w:rPr>
        <w:t>in</w:t>
      </w:r>
      <w:r w:rsidR="0043298B" w:rsidRPr="00502ECC">
        <w:rPr>
          <w:rFonts w:ascii="Arial" w:hAnsi="Arial" w:cs="Arial"/>
          <w:color w:val="7030A0"/>
        </w:rPr>
        <w:t>dicar</w:t>
      </w:r>
      <w:r w:rsidRPr="00502ECC">
        <w:rPr>
          <w:rFonts w:ascii="Arial" w:hAnsi="Arial" w:cs="Arial"/>
          <w:color w:val="7030A0"/>
        </w:rPr>
        <w:t xml:space="preserve"> la terapia física, ocupacional, de lenguaje, </w:t>
      </w:r>
      <w:r w:rsidR="00261561" w:rsidRPr="00502ECC">
        <w:rPr>
          <w:rFonts w:ascii="Arial" w:hAnsi="Arial" w:cs="Arial"/>
          <w:color w:val="7030A0"/>
        </w:rPr>
        <w:t>de aprendizaje</w:t>
      </w:r>
      <w:r w:rsidRPr="00502ECC">
        <w:rPr>
          <w:rFonts w:ascii="Arial" w:hAnsi="Arial" w:cs="Arial"/>
          <w:color w:val="7030A0"/>
        </w:rPr>
        <w:t>, o procedimientos médicos según corresponda.</w:t>
      </w:r>
    </w:p>
    <w:p w14:paraId="1E16D3EC" w14:textId="77777777" w:rsidR="00996FC3" w:rsidRDefault="00CD0A24" w:rsidP="00502ECC">
      <w:pPr>
        <w:pStyle w:val="Prrafodelista"/>
        <w:numPr>
          <w:ilvl w:val="0"/>
          <w:numId w:val="6"/>
        </w:numPr>
        <w:spacing w:after="0" w:line="360" w:lineRule="auto"/>
        <w:jc w:val="both"/>
        <w:rPr>
          <w:rFonts w:ascii="Arial" w:hAnsi="Arial" w:cs="Arial"/>
          <w:color w:val="7030A0"/>
        </w:rPr>
      </w:pPr>
      <w:r w:rsidRPr="00502ECC">
        <w:rPr>
          <w:rFonts w:ascii="Arial" w:hAnsi="Arial" w:cs="Arial"/>
          <w:color w:val="7030A0"/>
        </w:rPr>
        <w:t>Los pacientes menores de cinco años</w:t>
      </w:r>
      <w:r w:rsidR="006E0326">
        <w:rPr>
          <w:rFonts w:ascii="Arial" w:hAnsi="Arial" w:cs="Arial"/>
          <w:color w:val="7030A0"/>
        </w:rPr>
        <w:t xml:space="preserve">, </w:t>
      </w:r>
      <w:r w:rsidR="006E0326" w:rsidRPr="0053309B">
        <w:rPr>
          <w:rFonts w:ascii="Arial" w:hAnsi="Arial" w:cs="Arial"/>
          <w:color w:val="7030A0"/>
        </w:rPr>
        <w:t>que presenten alteración de tono muscular y retraso en el desarrollo</w:t>
      </w:r>
      <w:r w:rsidR="0053309B" w:rsidRPr="0053309B">
        <w:rPr>
          <w:rFonts w:ascii="Arial" w:hAnsi="Arial" w:cs="Arial"/>
          <w:color w:val="ED7D31" w:themeColor="accent2"/>
        </w:rPr>
        <w:t xml:space="preserve">, así como los pacientes </w:t>
      </w:r>
      <w:r w:rsidR="009421FE">
        <w:rPr>
          <w:rFonts w:ascii="Arial" w:hAnsi="Arial" w:cs="Arial"/>
          <w:color w:val="ED7D31" w:themeColor="accent2"/>
        </w:rPr>
        <w:t xml:space="preserve">de cualquier edad </w:t>
      </w:r>
      <w:r w:rsidR="0053309B" w:rsidRPr="0053309B">
        <w:rPr>
          <w:rFonts w:ascii="Arial" w:hAnsi="Arial" w:cs="Arial"/>
          <w:color w:val="ED7D31" w:themeColor="accent2"/>
        </w:rPr>
        <w:t>con displasias esqueléticas</w:t>
      </w:r>
      <w:r w:rsidRPr="0053309B">
        <w:rPr>
          <w:rFonts w:ascii="Arial" w:hAnsi="Arial" w:cs="Arial"/>
          <w:color w:val="ED7D31" w:themeColor="accent2"/>
        </w:rPr>
        <w:t xml:space="preserve"> </w:t>
      </w:r>
      <w:r w:rsidRPr="00502ECC">
        <w:rPr>
          <w:rFonts w:ascii="Arial" w:hAnsi="Arial" w:cs="Arial"/>
          <w:color w:val="7030A0"/>
        </w:rPr>
        <w:t>deben recibir</w:t>
      </w:r>
      <w:r w:rsidR="00D50551" w:rsidRPr="00502ECC">
        <w:rPr>
          <w:rFonts w:ascii="Arial" w:hAnsi="Arial" w:cs="Arial"/>
          <w:color w:val="7030A0"/>
        </w:rPr>
        <w:t xml:space="preserve"> </w:t>
      </w:r>
      <w:r w:rsidR="00261561" w:rsidRPr="00502ECC">
        <w:rPr>
          <w:rFonts w:ascii="Arial" w:hAnsi="Arial" w:cs="Arial"/>
          <w:color w:val="7030A0"/>
        </w:rPr>
        <w:t>terapia física</w:t>
      </w:r>
      <w:r w:rsidR="00F37C23" w:rsidRPr="00502ECC">
        <w:rPr>
          <w:rFonts w:ascii="Arial" w:hAnsi="Arial" w:cs="Arial"/>
          <w:color w:val="7030A0"/>
        </w:rPr>
        <w:t xml:space="preserve"> para estimulación del desarrollo neuromotor, así como para prevención de </w:t>
      </w:r>
      <w:r w:rsidR="00127E0E" w:rsidRPr="00502ECC">
        <w:rPr>
          <w:rFonts w:ascii="Arial" w:hAnsi="Arial" w:cs="Arial"/>
          <w:color w:val="7030A0"/>
        </w:rPr>
        <w:t>complicacio</w:t>
      </w:r>
      <w:r w:rsidR="00972035" w:rsidRPr="00502ECC">
        <w:rPr>
          <w:rFonts w:ascii="Arial" w:hAnsi="Arial" w:cs="Arial"/>
          <w:color w:val="7030A0"/>
        </w:rPr>
        <w:t>n</w:t>
      </w:r>
      <w:r w:rsidR="00F37C23" w:rsidRPr="00502ECC">
        <w:rPr>
          <w:rFonts w:ascii="Arial" w:hAnsi="Arial" w:cs="Arial"/>
          <w:color w:val="7030A0"/>
        </w:rPr>
        <w:t>es musculoesqueléticas</w:t>
      </w:r>
      <w:r w:rsidR="00BA5702" w:rsidRPr="00502ECC">
        <w:rPr>
          <w:rFonts w:ascii="Arial" w:hAnsi="Arial" w:cs="Arial"/>
          <w:color w:val="7030A0"/>
        </w:rPr>
        <w:t xml:space="preserve"> en columna vertebral y extremidades (inversión o aumento de curvaturas vertebrales fisiológicas</w:t>
      </w:r>
      <w:r w:rsidR="00502ECC">
        <w:rPr>
          <w:rFonts w:ascii="Arial" w:hAnsi="Arial" w:cs="Arial"/>
          <w:color w:val="7030A0"/>
        </w:rPr>
        <w:t>, escoliosis</w:t>
      </w:r>
      <w:r w:rsidR="00BA5702" w:rsidRPr="00502ECC">
        <w:rPr>
          <w:rFonts w:ascii="Arial" w:hAnsi="Arial" w:cs="Arial"/>
          <w:color w:val="7030A0"/>
        </w:rPr>
        <w:t xml:space="preserve">, genu valgo o varo, </w:t>
      </w:r>
      <w:r w:rsidR="00127E0E" w:rsidRPr="00502ECC">
        <w:rPr>
          <w:rFonts w:ascii="Arial" w:hAnsi="Arial" w:cs="Arial"/>
          <w:color w:val="7030A0"/>
        </w:rPr>
        <w:t xml:space="preserve">dorsolumbalgias </w:t>
      </w:r>
      <w:r w:rsidR="008D33B4" w:rsidRPr="00502ECC">
        <w:rPr>
          <w:rFonts w:ascii="Arial" w:hAnsi="Arial" w:cs="Arial"/>
          <w:color w:val="7030A0"/>
        </w:rPr>
        <w:t>y otras que causen limitaciones en el rango normal del movimiento)</w:t>
      </w:r>
      <w:r w:rsidR="00075EC1" w:rsidRPr="00502ECC">
        <w:rPr>
          <w:rFonts w:ascii="Arial" w:hAnsi="Arial" w:cs="Arial"/>
          <w:color w:val="7030A0"/>
        </w:rPr>
        <w:t xml:space="preserve"> y neurológicas (signos de estrechez espinal).</w:t>
      </w:r>
    </w:p>
    <w:p w14:paraId="6CCCC5D8" w14:textId="77777777" w:rsidR="00127E0E" w:rsidRDefault="00127E0E" w:rsidP="00502ECC">
      <w:pPr>
        <w:pStyle w:val="Prrafodelista"/>
        <w:numPr>
          <w:ilvl w:val="0"/>
          <w:numId w:val="6"/>
        </w:numPr>
        <w:spacing w:after="0" w:line="360" w:lineRule="auto"/>
        <w:jc w:val="both"/>
        <w:rPr>
          <w:rFonts w:ascii="Arial" w:hAnsi="Arial" w:cs="Arial"/>
          <w:color w:val="7030A0"/>
        </w:rPr>
      </w:pPr>
      <w:r w:rsidRPr="00502ECC">
        <w:rPr>
          <w:rFonts w:ascii="Arial" w:hAnsi="Arial" w:cs="Arial"/>
          <w:color w:val="7030A0"/>
        </w:rPr>
        <w:t xml:space="preserve">Los pacientes que </w:t>
      </w:r>
      <w:r w:rsidR="00880C75" w:rsidRPr="00502ECC">
        <w:rPr>
          <w:rFonts w:ascii="Arial" w:hAnsi="Arial" w:cs="Arial"/>
          <w:color w:val="7030A0"/>
        </w:rPr>
        <w:t>presenten complicaciones músculoesqueléticas deben recibir los medios físicos que corresponda según</w:t>
      </w:r>
      <w:r w:rsidR="004E68A2" w:rsidRPr="00502ECC">
        <w:rPr>
          <w:rFonts w:ascii="Arial" w:hAnsi="Arial" w:cs="Arial"/>
          <w:color w:val="7030A0"/>
        </w:rPr>
        <w:t xml:space="preserve"> la patología específica</w:t>
      </w:r>
      <w:r w:rsidR="00193811" w:rsidRPr="00502ECC">
        <w:rPr>
          <w:rFonts w:ascii="Arial" w:hAnsi="Arial" w:cs="Arial"/>
          <w:color w:val="7030A0"/>
        </w:rPr>
        <w:t xml:space="preserve"> encontrada</w:t>
      </w:r>
      <w:r w:rsidR="00880C75" w:rsidRPr="00502ECC">
        <w:rPr>
          <w:rFonts w:ascii="Arial" w:hAnsi="Arial" w:cs="Arial"/>
          <w:color w:val="7030A0"/>
        </w:rPr>
        <w:t>: ultrasonido, electroterapia, lasert</w:t>
      </w:r>
      <w:r w:rsidR="00870681" w:rsidRPr="00502ECC">
        <w:rPr>
          <w:rFonts w:ascii="Arial" w:hAnsi="Arial" w:cs="Arial"/>
          <w:color w:val="7030A0"/>
        </w:rPr>
        <w:t>erapia, magnetoterapia y otros; además de kinesioterapia dirigida.</w:t>
      </w:r>
    </w:p>
    <w:p w14:paraId="06CEE9C1" w14:textId="77777777" w:rsidR="00A82B83" w:rsidRDefault="00A82B83" w:rsidP="00502ECC">
      <w:pPr>
        <w:pStyle w:val="Prrafodelista"/>
        <w:numPr>
          <w:ilvl w:val="0"/>
          <w:numId w:val="6"/>
        </w:numPr>
        <w:spacing w:after="0" w:line="360" w:lineRule="auto"/>
        <w:jc w:val="both"/>
        <w:rPr>
          <w:rFonts w:ascii="Arial" w:hAnsi="Arial" w:cs="Arial"/>
          <w:color w:val="7030A0"/>
        </w:rPr>
      </w:pPr>
      <w:r>
        <w:rPr>
          <w:rFonts w:ascii="Arial" w:hAnsi="Arial" w:cs="Arial"/>
          <w:color w:val="7030A0"/>
        </w:rPr>
        <w:t xml:space="preserve">Los pacientes que hayan sido intervenidos quirúrgicamente </w:t>
      </w:r>
      <w:r>
        <w:rPr>
          <w:rFonts w:ascii="Arial" w:hAnsi="Arial" w:cs="Arial"/>
          <w:color w:val="ED7D31" w:themeColor="accent2"/>
        </w:rPr>
        <w:t xml:space="preserve">por laminectomía, </w:t>
      </w:r>
      <w:r>
        <w:rPr>
          <w:rFonts w:ascii="Arial" w:hAnsi="Arial" w:cs="Arial"/>
          <w:color w:val="7030A0"/>
        </w:rPr>
        <w:t xml:space="preserve">alargamiento óseo, o corrección de deformidades angulares, deben iniciar terapia </w:t>
      </w:r>
      <w:r w:rsidRPr="00A82B83">
        <w:rPr>
          <w:rFonts w:ascii="Arial" w:hAnsi="Arial" w:cs="Arial"/>
          <w:color w:val="ED7D31" w:themeColor="accent2"/>
        </w:rPr>
        <w:t xml:space="preserve">física precozmente </w:t>
      </w:r>
      <w:r>
        <w:rPr>
          <w:rFonts w:ascii="Arial" w:hAnsi="Arial" w:cs="Arial"/>
          <w:color w:val="7030A0"/>
        </w:rPr>
        <w:t>para mantener rangos articulares</w:t>
      </w:r>
      <w:r w:rsidR="00D6731B">
        <w:rPr>
          <w:rFonts w:ascii="Arial" w:hAnsi="Arial" w:cs="Arial"/>
          <w:color w:val="7030A0"/>
        </w:rPr>
        <w:t xml:space="preserve">, recuperar fuerza muscular e iniciar marcha, y </w:t>
      </w:r>
      <w:r w:rsidR="00D6731B" w:rsidRPr="000937FD">
        <w:rPr>
          <w:rFonts w:ascii="Arial" w:hAnsi="Arial" w:cs="Arial"/>
          <w:color w:val="ED7D31" w:themeColor="accent2"/>
        </w:rPr>
        <w:t>lograr una recuperación óptima.</w:t>
      </w:r>
    </w:p>
    <w:p w14:paraId="4AEA555F" w14:textId="77777777" w:rsidR="00BA778C" w:rsidRPr="00BA778C" w:rsidRDefault="00BA778C" w:rsidP="00502ECC">
      <w:pPr>
        <w:pStyle w:val="Prrafodelista"/>
        <w:numPr>
          <w:ilvl w:val="0"/>
          <w:numId w:val="6"/>
        </w:numPr>
        <w:spacing w:after="0" w:line="360" w:lineRule="auto"/>
        <w:jc w:val="both"/>
        <w:rPr>
          <w:rFonts w:ascii="Arial" w:hAnsi="Arial" w:cs="Arial"/>
          <w:color w:val="FF0000"/>
        </w:rPr>
      </w:pPr>
      <w:r>
        <w:rPr>
          <w:rFonts w:ascii="Arial" w:hAnsi="Arial" w:cs="Arial"/>
          <w:color w:val="FF0000"/>
        </w:rPr>
        <w:t>A l</w:t>
      </w:r>
      <w:r w:rsidRPr="00BA778C">
        <w:rPr>
          <w:rFonts w:ascii="Arial" w:hAnsi="Arial" w:cs="Arial"/>
          <w:color w:val="FF0000"/>
        </w:rPr>
        <w:t xml:space="preserve">os pacientes que presenten signos de estrechez espinal, </w:t>
      </w:r>
      <w:r>
        <w:rPr>
          <w:rFonts w:ascii="Arial" w:hAnsi="Arial" w:cs="Arial"/>
          <w:color w:val="FF0000"/>
        </w:rPr>
        <w:t xml:space="preserve">se les </w:t>
      </w:r>
      <w:r w:rsidRPr="00BA778C">
        <w:rPr>
          <w:rFonts w:ascii="Arial" w:hAnsi="Arial" w:cs="Arial"/>
          <w:color w:val="FF0000"/>
        </w:rPr>
        <w:t>debe solicitar una interconsulta con Neurología.</w:t>
      </w:r>
    </w:p>
    <w:p w14:paraId="1ADA0990" w14:textId="77777777" w:rsidR="00880C75" w:rsidRPr="00BA778C" w:rsidRDefault="00880C75" w:rsidP="00502ECC">
      <w:pPr>
        <w:pStyle w:val="Prrafodelista"/>
        <w:numPr>
          <w:ilvl w:val="0"/>
          <w:numId w:val="6"/>
        </w:numPr>
        <w:spacing w:after="0" w:line="360" w:lineRule="auto"/>
        <w:jc w:val="both"/>
        <w:rPr>
          <w:rFonts w:ascii="Arial" w:hAnsi="Arial" w:cs="Arial"/>
          <w:color w:val="7030A0"/>
        </w:rPr>
      </w:pPr>
      <w:r w:rsidRPr="00BA778C">
        <w:rPr>
          <w:rFonts w:ascii="Arial" w:hAnsi="Arial" w:cs="Arial"/>
          <w:color w:val="7030A0"/>
        </w:rPr>
        <w:t xml:space="preserve">Los pacientes </w:t>
      </w:r>
      <w:r w:rsidR="00974BB9" w:rsidRPr="00BA778C">
        <w:rPr>
          <w:rFonts w:ascii="Arial" w:hAnsi="Arial" w:cs="Arial"/>
          <w:color w:val="7030A0"/>
        </w:rPr>
        <w:t>con displasias esqueléticas</w:t>
      </w:r>
      <w:r w:rsidR="008E496E">
        <w:rPr>
          <w:rFonts w:ascii="Arial" w:hAnsi="Arial" w:cs="Arial"/>
          <w:color w:val="7030A0"/>
        </w:rPr>
        <w:t>, y aquellos en los que se encuentre compromiso pulmonar,</w:t>
      </w:r>
      <w:r w:rsidR="00974BB9" w:rsidRPr="00BA778C">
        <w:rPr>
          <w:rFonts w:ascii="Arial" w:hAnsi="Arial" w:cs="Arial"/>
          <w:color w:val="7030A0"/>
        </w:rPr>
        <w:t xml:space="preserve"> </w:t>
      </w:r>
      <w:r w:rsidRPr="00BA778C">
        <w:rPr>
          <w:rFonts w:ascii="Arial" w:hAnsi="Arial" w:cs="Arial"/>
          <w:color w:val="7030A0"/>
        </w:rPr>
        <w:t>deben recibir tera</w:t>
      </w:r>
      <w:r w:rsidR="004E68A2" w:rsidRPr="00BA778C">
        <w:rPr>
          <w:rFonts w:ascii="Arial" w:hAnsi="Arial" w:cs="Arial"/>
          <w:color w:val="7030A0"/>
        </w:rPr>
        <w:t>pia respiratoria</w:t>
      </w:r>
      <w:r w:rsidR="00974BB9" w:rsidRPr="00BA778C">
        <w:rPr>
          <w:rFonts w:ascii="Arial" w:hAnsi="Arial" w:cs="Arial"/>
          <w:color w:val="7030A0"/>
        </w:rPr>
        <w:t xml:space="preserve"> preventiva para mejorar su amplexación toráxica y prevenir complicaciones posibles por deformidades toráxicas.</w:t>
      </w:r>
    </w:p>
    <w:p w14:paraId="39AD89F1" w14:textId="77777777" w:rsidR="00F752AE" w:rsidRPr="00502ECC" w:rsidRDefault="0004665C" w:rsidP="00502ECC">
      <w:pPr>
        <w:pStyle w:val="Prrafodelista"/>
        <w:numPr>
          <w:ilvl w:val="0"/>
          <w:numId w:val="6"/>
        </w:numPr>
        <w:spacing w:after="0" w:line="360" w:lineRule="auto"/>
        <w:jc w:val="both"/>
        <w:rPr>
          <w:rFonts w:ascii="Arial" w:hAnsi="Arial" w:cs="Arial"/>
          <w:color w:val="7030A0"/>
        </w:rPr>
      </w:pPr>
      <w:r>
        <w:rPr>
          <w:rFonts w:ascii="Arial" w:hAnsi="Arial" w:cs="Arial"/>
          <w:color w:val="7030A0"/>
        </w:rPr>
        <w:t>Los pacientes menores de cinco</w:t>
      </w:r>
      <w:r w:rsidR="00F752AE" w:rsidRPr="00502ECC">
        <w:rPr>
          <w:rFonts w:ascii="Arial" w:hAnsi="Arial" w:cs="Arial"/>
          <w:color w:val="7030A0"/>
        </w:rPr>
        <w:t xml:space="preserve"> años</w:t>
      </w:r>
      <w:r w:rsidR="00B50B8C">
        <w:rPr>
          <w:rFonts w:ascii="Arial" w:hAnsi="Arial" w:cs="Arial"/>
          <w:color w:val="7030A0"/>
        </w:rPr>
        <w:t xml:space="preserve"> </w:t>
      </w:r>
      <w:r w:rsidR="00070FED">
        <w:rPr>
          <w:rFonts w:ascii="Arial" w:hAnsi="Arial" w:cs="Arial"/>
          <w:color w:val="7030A0"/>
        </w:rPr>
        <w:t>que presenten alteración de tono muscular</w:t>
      </w:r>
      <w:r w:rsidR="00B50B8C">
        <w:rPr>
          <w:rFonts w:ascii="Arial" w:hAnsi="Arial" w:cs="Arial"/>
          <w:color w:val="7030A0"/>
        </w:rPr>
        <w:t xml:space="preserve"> y retraso en el desarrollo</w:t>
      </w:r>
      <w:r w:rsidR="00070FED">
        <w:rPr>
          <w:rFonts w:ascii="Arial" w:hAnsi="Arial" w:cs="Arial"/>
          <w:color w:val="7030A0"/>
        </w:rPr>
        <w:t>,</w:t>
      </w:r>
      <w:r w:rsidR="00F752AE" w:rsidRPr="00502ECC">
        <w:rPr>
          <w:rFonts w:ascii="Arial" w:hAnsi="Arial" w:cs="Arial"/>
          <w:color w:val="7030A0"/>
        </w:rPr>
        <w:t xml:space="preserve"> </w:t>
      </w:r>
      <w:r w:rsidR="00A22F53">
        <w:rPr>
          <w:rFonts w:ascii="Arial" w:hAnsi="Arial" w:cs="Arial"/>
          <w:color w:val="7030A0"/>
        </w:rPr>
        <w:t>así como aquellos</w:t>
      </w:r>
      <w:r w:rsidR="00BB411A">
        <w:rPr>
          <w:rFonts w:ascii="Arial" w:hAnsi="Arial" w:cs="Arial"/>
          <w:color w:val="7030A0"/>
        </w:rPr>
        <w:t xml:space="preserve"> que presenten dificultad en el desarrollo de actividades de vida diaria según su</w:t>
      </w:r>
      <w:r w:rsidR="00A22F53">
        <w:rPr>
          <w:rFonts w:ascii="Arial" w:hAnsi="Arial" w:cs="Arial"/>
          <w:color w:val="7030A0"/>
        </w:rPr>
        <w:t xml:space="preserve"> edad, </w:t>
      </w:r>
      <w:r w:rsidR="00F752AE" w:rsidRPr="00502ECC">
        <w:rPr>
          <w:rFonts w:ascii="Arial" w:hAnsi="Arial" w:cs="Arial"/>
          <w:color w:val="7030A0"/>
        </w:rPr>
        <w:t>de</w:t>
      </w:r>
      <w:r w:rsidR="00BB411A">
        <w:rPr>
          <w:rFonts w:ascii="Arial" w:hAnsi="Arial" w:cs="Arial"/>
          <w:color w:val="7030A0"/>
        </w:rPr>
        <w:t xml:space="preserve">ben recibir terapia </w:t>
      </w:r>
      <w:r w:rsidR="0023198D">
        <w:rPr>
          <w:rFonts w:ascii="Arial" w:hAnsi="Arial" w:cs="Arial"/>
          <w:color w:val="ED7D31" w:themeColor="accent2"/>
        </w:rPr>
        <w:t>ocupacional para lograr un aprendizaje motor adecuado y mejorar su independencia.</w:t>
      </w:r>
    </w:p>
    <w:p w14:paraId="5191B7F8" w14:textId="77777777" w:rsidR="00F752AE" w:rsidRPr="00502ECC" w:rsidRDefault="00F752AE" w:rsidP="00502ECC">
      <w:pPr>
        <w:pStyle w:val="Prrafodelista"/>
        <w:numPr>
          <w:ilvl w:val="0"/>
          <w:numId w:val="6"/>
        </w:numPr>
        <w:spacing w:after="0" w:line="360" w:lineRule="auto"/>
        <w:jc w:val="both"/>
        <w:rPr>
          <w:rFonts w:ascii="Arial" w:hAnsi="Arial" w:cs="Arial"/>
          <w:color w:val="7030A0"/>
        </w:rPr>
      </w:pPr>
      <w:r w:rsidRPr="00502ECC">
        <w:rPr>
          <w:rFonts w:ascii="Arial" w:hAnsi="Arial" w:cs="Arial"/>
          <w:color w:val="7030A0"/>
        </w:rPr>
        <w:t xml:space="preserve">El </w:t>
      </w:r>
      <w:r w:rsidR="00E338D6" w:rsidRPr="00502ECC">
        <w:rPr>
          <w:rFonts w:ascii="Arial" w:hAnsi="Arial" w:cs="Arial"/>
          <w:color w:val="7030A0"/>
        </w:rPr>
        <w:t>paciente deberá ser evaluado</w:t>
      </w:r>
      <w:r w:rsidR="00E748BE" w:rsidRPr="00502ECC">
        <w:rPr>
          <w:rFonts w:ascii="Arial" w:hAnsi="Arial" w:cs="Arial"/>
          <w:color w:val="7030A0"/>
        </w:rPr>
        <w:t xml:space="preserve"> por el médico especialista y el terapeuta ocupacional</w:t>
      </w:r>
      <w:r w:rsidR="00E338D6" w:rsidRPr="00502ECC">
        <w:rPr>
          <w:rFonts w:ascii="Arial" w:hAnsi="Arial" w:cs="Arial"/>
          <w:color w:val="7030A0"/>
        </w:rPr>
        <w:t xml:space="preserve"> para determinar los ortéticos que </w:t>
      </w:r>
      <w:r w:rsidRPr="00502ECC">
        <w:rPr>
          <w:rFonts w:ascii="Arial" w:hAnsi="Arial" w:cs="Arial"/>
          <w:color w:val="7030A0"/>
        </w:rPr>
        <w:t>requiera</w:t>
      </w:r>
      <w:r w:rsidR="00DA5436" w:rsidRPr="00502ECC">
        <w:rPr>
          <w:rFonts w:ascii="Arial" w:hAnsi="Arial" w:cs="Arial"/>
          <w:color w:val="7030A0"/>
        </w:rPr>
        <w:t xml:space="preserve"> según la evaluación de extremidades</w:t>
      </w:r>
      <w:r w:rsidRPr="00502ECC">
        <w:rPr>
          <w:rFonts w:ascii="Arial" w:hAnsi="Arial" w:cs="Arial"/>
          <w:color w:val="7030A0"/>
        </w:rPr>
        <w:t xml:space="preserve">, </w:t>
      </w:r>
      <w:r w:rsidR="00DA5436" w:rsidRPr="00502ECC">
        <w:rPr>
          <w:rFonts w:ascii="Arial" w:hAnsi="Arial" w:cs="Arial"/>
          <w:color w:val="7030A0"/>
        </w:rPr>
        <w:t xml:space="preserve">y considerando </w:t>
      </w:r>
      <w:r w:rsidR="00341F24" w:rsidRPr="00502ECC">
        <w:rPr>
          <w:rFonts w:ascii="Arial" w:hAnsi="Arial" w:cs="Arial"/>
          <w:color w:val="7030A0"/>
        </w:rPr>
        <w:t xml:space="preserve">el grado de compromiso de cada </w:t>
      </w:r>
      <w:r w:rsidRPr="00502ECC">
        <w:rPr>
          <w:rFonts w:ascii="Arial" w:hAnsi="Arial" w:cs="Arial"/>
          <w:color w:val="7030A0"/>
        </w:rPr>
        <w:t xml:space="preserve">segmento </w:t>
      </w:r>
      <w:r w:rsidRPr="00502ECC">
        <w:rPr>
          <w:rFonts w:ascii="Arial" w:hAnsi="Arial" w:cs="Arial"/>
          <w:color w:val="7030A0"/>
        </w:rPr>
        <w:lastRenderedPageBreak/>
        <w:t xml:space="preserve">corporal: </w:t>
      </w:r>
      <w:r w:rsidR="00CA7071" w:rsidRPr="00502ECC">
        <w:rPr>
          <w:rFonts w:ascii="Arial" w:hAnsi="Arial" w:cs="Arial"/>
          <w:color w:val="7030A0"/>
        </w:rPr>
        <w:t xml:space="preserve">estabilizadores de codo, muñeca </w:t>
      </w:r>
      <w:r w:rsidR="004772DA" w:rsidRPr="00502ECC">
        <w:rPr>
          <w:rFonts w:ascii="Arial" w:hAnsi="Arial" w:cs="Arial"/>
          <w:color w:val="7030A0"/>
        </w:rPr>
        <w:t>y/</w:t>
      </w:r>
      <w:r w:rsidR="00CA7071" w:rsidRPr="00502ECC">
        <w:rPr>
          <w:rFonts w:ascii="Arial" w:hAnsi="Arial" w:cs="Arial"/>
          <w:color w:val="7030A0"/>
        </w:rPr>
        <w:t>o mano,</w:t>
      </w:r>
      <w:r w:rsidRPr="00502ECC">
        <w:rPr>
          <w:rFonts w:ascii="Arial" w:hAnsi="Arial" w:cs="Arial"/>
          <w:color w:val="7030A0"/>
        </w:rPr>
        <w:t xml:space="preserve"> ortesis rodilla-tobillo-pie (KA</w:t>
      </w:r>
      <w:r w:rsidR="002A4924">
        <w:rPr>
          <w:rFonts w:ascii="Arial" w:hAnsi="Arial" w:cs="Arial"/>
          <w:color w:val="7030A0"/>
        </w:rPr>
        <w:t>FO), ortesis tobillo-pie (AFO/</w:t>
      </w:r>
      <w:r w:rsidRPr="00502ECC">
        <w:rPr>
          <w:rFonts w:ascii="Arial" w:hAnsi="Arial" w:cs="Arial"/>
          <w:color w:val="7030A0"/>
        </w:rPr>
        <w:t>OTP)</w:t>
      </w:r>
      <w:r w:rsidR="00F776EB" w:rsidRPr="00502ECC">
        <w:rPr>
          <w:rFonts w:ascii="Arial" w:hAnsi="Arial" w:cs="Arial"/>
          <w:color w:val="7030A0"/>
        </w:rPr>
        <w:t>.</w:t>
      </w:r>
    </w:p>
    <w:p w14:paraId="5E4B81A1" w14:textId="77777777" w:rsidR="00DA5436" w:rsidRPr="00502ECC" w:rsidRDefault="00502ECC" w:rsidP="00502ECC">
      <w:pPr>
        <w:pStyle w:val="Prrafodelista"/>
        <w:numPr>
          <w:ilvl w:val="0"/>
          <w:numId w:val="6"/>
        </w:numPr>
        <w:spacing w:after="0" w:line="360" w:lineRule="auto"/>
        <w:jc w:val="both"/>
        <w:rPr>
          <w:rFonts w:ascii="Arial" w:hAnsi="Arial" w:cs="Arial"/>
          <w:color w:val="7030A0"/>
        </w:rPr>
      </w:pPr>
      <w:r>
        <w:rPr>
          <w:rFonts w:ascii="Arial" w:hAnsi="Arial" w:cs="Arial"/>
          <w:color w:val="7030A0"/>
        </w:rPr>
        <w:t>El</w:t>
      </w:r>
      <w:r w:rsidR="00DA5436" w:rsidRPr="00502ECC">
        <w:rPr>
          <w:rFonts w:ascii="Arial" w:hAnsi="Arial" w:cs="Arial"/>
          <w:color w:val="7030A0"/>
        </w:rPr>
        <w:t xml:space="preserve"> médico especialista indicará </w:t>
      </w:r>
      <w:r w:rsidR="0033222F" w:rsidRPr="00502ECC">
        <w:rPr>
          <w:rFonts w:ascii="Arial" w:hAnsi="Arial" w:cs="Arial"/>
          <w:color w:val="7030A0"/>
        </w:rPr>
        <w:t>corsés</w:t>
      </w:r>
      <w:r w:rsidR="0033222F">
        <w:rPr>
          <w:rFonts w:ascii="Arial" w:hAnsi="Arial" w:cs="Arial"/>
          <w:color w:val="7030A0"/>
        </w:rPr>
        <w:t xml:space="preserve">, </w:t>
      </w:r>
      <w:r w:rsidR="00DA5436" w:rsidRPr="00502ECC">
        <w:rPr>
          <w:rFonts w:ascii="Arial" w:hAnsi="Arial" w:cs="Arial"/>
          <w:color w:val="7030A0"/>
        </w:rPr>
        <w:t>plantillas ortopédicas</w:t>
      </w:r>
      <w:r w:rsidR="0033222F">
        <w:rPr>
          <w:rFonts w:ascii="Arial" w:hAnsi="Arial" w:cs="Arial"/>
          <w:color w:val="7030A0"/>
        </w:rPr>
        <w:t>, o</w:t>
      </w:r>
      <w:r w:rsidR="00DA5436" w:rsidRPr="00502ECC">
        <w:rPr>
          <w:rFonts w:ascii="Arial" w:hAnsi="Arial" w:cs="Arial"/>
          <w:color w:val="7030A0"/>
        </w:rPr>
        <w:t xml:space="preserve"> zapatos ortopédicos, </w:t>
      </w:r>
      <w:r w:rsidR="0033222F">
        <w:rPr>
          <w:rFonts w:ascii="Arial" w:hAnsi="Arial" w:cs="Arial"/>
          <w:color w:val="7030A0"/>
        </w:rPr>
        <w:t>como apoyo a las indicaciones de terapia física en los pacientes en los que se evidencie un moderado compromiso de deformidades de columna vertebral, o en miembros inferiores, tales como: escoliosis, hiperlordosis, dismetría de miembros inferiores, genu valgo y otros.</w:t>
      </w:r>
    </w:p>
    <w:p w14:paraId="11B8E3D8" w14:textId="77777777" w:rsidR="00C43D43" w:rsidRPr="00502ECC" w:rsidRDefault="00B136D8" w:rsidP="00502ECC">
      <w:pPr>
        <w:pStyle w:val="Prrafodelista"/>
        <w:numPr>
          <w:ilvl w:val="0"/>
          <w:numId w:val="6"/>
        </w:numPr>
        <w:spacing w:after="0" w:line="360" w:lineRule="auto"/>
        <w:jc w:val="both"/>
        <w:rPr>
          <w:rFonts w:ascii="Arial" w:hAnsi="Arial" w:cs="Arial"/>
          <w:color w:val="7030A0"/>
        </w:rPr>
      </w:pPr>
      <w:r>
        <w:rPr>
          <w:rFonts w:ascii="Arial" w:hAnsi="Arial" w:cs="Arial"/>
          <w:color w:val="7030A0"/>
        </w:rPr>
        <w:t xml:space="preserve">El paciente debe recibir terapia de lenguaje, si se encuentran </w:t>
      </w:r>
      <w:r w:rsidR="00403748" w:rsidRPr="00502ECC">
        <w:rPr>
          <w:rFonts w:ascii="Arial" w:hAnsi="Arial" w:cs="Arial"/>
          <w:color w:val="7030A0"/>
        </w:rPr>
        <w:t xml:space="preserve">signos de </w:t>
      </w:r>
      <w:r w:rsidR="003C2D38" w:rsidRPr="00502ECC">
        <w:rPr>
          <w:rFonts w:ascii="Arial" w:hAnsi="Arial" w:cs="Arial"/>
          <w:color w:val="7030A0"/>
        </w:rPr>
        <w:t xml:space="preserve">hipoacusia, </w:t>
      </w:r>
      <w:r w:rsidR="00403748" w:rsidRPr="00502ECC">
        <w:rPr>
          <w:rFonts w:ascii="Arial" w:hAnsi="Arial" w:cs="Arial"/>
          <w:color w:val="7030A0"/>
        </w:rPr>
        <w:t xml:space="preserve">trastorno de lenguaje expresivo y </w:t>
      </w:r>
      <w:r w:rsidR="001D463C">
        <w:rPr>
          <w:rFonts w:ascii="Arial" w:hAnsi="Arial" w:cs="Arial"/>
          <w:color w:val="7030A0"/>
        </w:rPr>
        <w:t>deficiencias en</w:t>
      </w:r>
      <w:r w:rsidR="00403748" w:rsidRPr="00502ECC">
        <w:rPr>
          <w:rFonts w:ascii="Arial" w:hAnsi="Arial" w:cs="Arial"/>
          <w:color w:val="7030A0"/>
        </w:rPr>
        <w:t xml:space="preserve"> praxias linguales.</w:t>
      </w:r>
    </w:p>
    <w:p w14:paraId="7D098D96" w14:textId="77777777" w:rsidR="009E3086" w:rsidRPr="00502ECC" w:rsidRDefault="00403748" w:rsidP="00502ECC">
      <w:pPr>
        <w:pStyle w:val="Prrafodelista"/>
        <w:numPr>
          <w:ilvl w:val="0"/>
          <w:numId w:val="6"/>
        </w:numPr>
        <w:spacing w:after="0" w:line="360" w:lineRule="auto"/>
        <w:jc w:val="both"/>
        <w:rPr>
          <w:rFonts w:ascii="Arial" w:hAnsi="Arial" w:cs="Arial"/>
          <w:color w:val="7030A0"/>
        </w:rPr>
      </w:pPr>
      <w:r w:rsidRPr="00502ECC">
        <w:rPr>
          <w:rFonts w:ascii="Arial" w:hAnsi="Arial" w:cs="Arial"/>
          <w:color w:val="7030A0"/>
        </w:rPr>
        <w:t>Se indicará terapia de aprendizaje en aquellos pacientes en quienes se haya evidenciado algún déficit cognitivo.</w:t>
      </w:r>
    </w:p>
    <w:p w14:paraId="7289B591" w14:textId="77777777" w:rsidR="00403748" w:rsidRDefault="00403748" w:rsidP="00502ECC">
      <w:pPr>
        <w:pStyle w:val="Prrafodelista"/>
        <w:numPr>
          <w:ilvl w:val="0"/>
          <w:numId w:val="6"/>
        </w:numPr>
        <w:spacing w:after="0" w:line="360" w:lineRule="auto"/>
        <w:jc w:val="both"/>
        <w:rPr>
          <w:rFonts w:ascii="Arial" w:hAnsi="Arial" w:cs="Arial"/>
          <w:color w:val="7030A0"/>
        </w:rPr>
      </w:pPr>
      <w:r w:rsidRPr="00502ECC">
        <w:rPr>
          <w:rFonts w:ascii="Arial" w:hAnsi="Arial" w:cs="Arial"/>
          <w:color w:val="7030A0"/>
        </w:rPr>
        <w:t>El médico especialista realizará los procedimientos médicos para apoyo al manejo del dolor, tales como desgatillamiento, infiltraciones, bloqueos paravertebrales, acupuntura; previo consen</w:t>
      </w:r>
      <w:r w:rsidR="00C3326A">
        <w:rPr>
          <w:rFonts w:ascii="Arial" w:hAnsi="Arial" w:cs="Arial"/>
          <w:color w:val="7030A0"/>
        </w:rPr>
        <w:t>timiento informado del paciente, según corresponda.</w:t>
      </w:r>
    </w:p>
    <w:p w14:paraId="2807621B" w14:textId="77777777" w:rsidR="00B136D8" w:rsidRPr="00502ECC" w:rsidRDefault="00B136D8" w:rsidP="006660BA">
      <w:pPr>
        <w:pStyle w:val="Prrafodelista"/>
        <w:spacing w:after="0" w:line="360" w:lineRule="auto"/>
        <w:jc w:val="both"/>
        <w:rPr>
          <w:rFonts w:ascii="Arial" w:hAnsi="Arial" w:cs="Arial"/>
          <w:color w:val="7030A0"/>
        </w:rPr>
      </w:pPr>
    </w:p>
    <w:p w14:paraId="3E4B64F9" w14:textId="77777777" w:rsidR="00BB2778" w:rsidRDefault="00BB2778" w:rsidP="000051F6">
      <w:pPr>
        <w:spacing w:after="0" w:line="360" w:lineRule="auto"/>
        <w:jc w:val="both"/>
        <w:rPr>
          <w:rFonts w:ascii="Arial" w:hAnsi="Arial" w:cs="Arial"/>
          <w:color w:val="7030A0"/>
        </w:rPr>
      </w:pPr>
    </w:p>
    <w:p w14:paraId="6D6D8304" w14:textId="77777777" w:rsidR="009E3086" w:rsidRDefault="009E3086" w:rsidP="000051F6">
      <w:pPr>
        <w:spacing w:after="0" w:line="360" w:lineRule="auto"/>
        <w:jc w:val="both"/>
        <w:rPr>
          <w:rFonts w:ascii="Arial" w:hAnsi="Arial" w:cs="Arial"/>
          <w:color w:val="7030A0"/>
        </w:rPr>
      </w:pPr>
      <w:r w:rsidRPr="009A31D5">
        <w:rPr>
          <w:rFonts w:ascii="Arial" w:hAnsi="Arial" w:cs="Arial"/>
        </w:rPr>
        <w:t>5.5.3. Del seguimiento</w:t>
      </w:r>
      <w:r w:rsidR="009C3C1C">
        <w:rPr>
          <w:rFonts w:ascii="Arial" w:hAnsi="Arial" w:cs="Arial"/>
        </w:rPr>
        <w:t xml:space="preserve"> en Rehabilitación</w:t>
      </w:r>
    </w:p>
    <w:p w14:paraId="1D481323" w14:textId="77777777" w:rsidR="00403748" w:rsidRPr="00551014" w:rsidRDefault="00403748" w:rsidP="00551014">
      <w:pPr>
        <w:pStyle w:val="Prrafodelista"/>
        <w:numPr>
          <w:ilvl w:val="0"/>
          <w:numId w:val="7"/>
        </w:numPr>
        <w:spacing w:after="0" w:line="360" w:lineRule="auto"/>
        <w:jc w:val="both"/>
        <w:rPr>
          <w:rFonts w:ascii="Arial" w:hAnsi="Arial" w:cs="Arial"/>
          <w:color w:val="7030A0"/>
        </w:rPr>
      </w:pPr>
      <w:r w:rsidRPr="00551014">
        <w:rPr>
          <w:rFonts w:ascii="Arial" w:hAnsi="Arial" w:cs="Arial"/>
          <w:color w:val="7030A0"/>
        </w:rPr>
        <w:t>Todo paciente que haya</w:t>
      </w:r>
      <w:r w:rsidR="00BB2778" w:rsidRPr="00551014">
        <w:rPr>
          <w:rFonts w:ascii="Arial" w:hAnsi="Arial" w:cs="Arial"/>
          <w:color w:val="7030A0"/>
        </w:rPr>
        <w:t xml:space="preserve"> sido evaluado y recibido algún procedimiento médico, o</w:t>
      </w:r>
      <w:r w:rsidRPr="00551014">
        <w:rPr>
          <w:rFonts w:ascii="Arial" w:hAnsi="Arial" w:cs="Arial"/>
          <w:color w:val="7030A0"/>
        </w:rPr>
        <w:t xml:space="preserve"> ingresado</w:t>
      </w:r>
      <w:r w:rsidR="00BB2778" w:rsidRPr="00551014">
        <w:rPr>
          <w:rFonts w:ascii="Arial" w:hAnsi="Arial" w:cs="Arial"/>
          <w:color w:val="7030A0"/>
        </w:rPr>
        <w:t xml:space="preserve"> a un ciclo de terapia, al término de ésta, deberá ser reevaluado por el médico especialista.</w:t>
      </w:r>
    </w:p>
    <w:p w14:paraId="7112E1BB" w14:textId="77777777" w:rsidR="00BB2778" w:rsidRPr="00551014" w:rsidRDefault="00BB2778" w:rsidP="00551014">
      <w:pPr>
        <w:pStyle w:val="Prrafodelista"/>
        <w:numPr>
          <w:ilvl w:val="0"/>
          <w:numId w:val="7"/>
        </w:numPr>
        <w:spacing w:after="0" w:line="360" w:lineRule="auto"/>
        <w:jc w:val="both"/>
        <w:rPr>
          <w:rFonts w:ascii="Arial" w:hAnsi="Arial" w:cs="Arial"/>
          <w:color w:val="7030A0"/>
        </w:rPr>
      </w:pPr>
      <w:r w:rsidRPr="00551014">
        <w:rPr>
          <w:rFonts w:ascii="Arial" w:hAnsi="Arial" w:cs="Arial"/>
          <w:color w:val="7030A0"/>
        </w:rPr>
        <w:t>Cuando el paciente sea dado de alta del servicio, deberá acudir a reevaluaciones cada seis meses.</w:t>
      </w:r>
    </w:p>
    <w:p w14:paraId="7C6AAFBA" w14:textId="77777777" w:rsidR="00CC63C8" w:rsidRDefault="00CC63C8" w:rsidP="000051F6">
      <w:pPr>
        <w:spacing w:after="0" w:line="360" w:lineRule="auto"/>
        <w:jc w:val="both"/>
        <w:rPr>
          <w:rFonts w:ascii="Arial" w:hAnsi="Arial" w:cs="Arial"/>
          <w:color w:val="7030A0"/>
        </w:rPr>
      </w:pPr>
    </w:p>
    <w:p w14:paraId="23E468E2" w14:textId="77777777" w:rsidR="002968BA" w:rsidRDefault="002968BA" w:rsidP="009B17B3">
      <w:pPr>
        <w:spacing w:after="0" w:line="360" w:lineRule="auto"/>
        <w:jc w:val="both"/>
        <w:rPr>
          <w:rFonts w:ascii="Arial" w:hAnsi="Arial" w:cs="Arial"/>
        </w:rPr>
      </w:pPr>
      <w:r>
        <w:rPr>
          <w:rFonts w:ascii="Arial" w:hAnsi="Arial" w:cs="Arial"/>
        </w:rPr>
        <w:t>5.5. De la certificación de discapacidad</w:t>
      </w:r>
      <w:r w:rsidR="00A11568">
        <w:rPr>
          <w:rFonts w:ascii="Arial" w:hAnsi="Arial" w:cs="Arial"/>
        </w:rPr>
        <w:t xml:space="preserve"> </w:t>
      </w:r>
    </w:p>
    <w:p w14:paraId="0C9878C0" w14:textId="77777777" w:rsidR="00B00250" w:rsidRPr="00B1312A" w:rsidRDefault="00061D70" w:rsidP="00B1312A">
      <w:pPr>
        <w:pStyle w:val="Prrafodelista"/>
        <w:numPr>
          <w:ilvl w:val="0"/>
          <w:numId w:val="8"/>
        </w:numPr>
        <w:spacing w:after="0" w:line="360" w:lineRule="auto"/>
        <w:jc w:val="both"/>
        <w:rPr>
          <w:rFonts w:ascii="Arial" w:hAnsi="Arial" w:cs="Arial"/>
          <w:color w:val="7030A0"/>
        </w:rPr>
      </w:pPr>
      <w:r w:rsidRPr="00B1312A">
        <w:rPr>
          <w:rFonts w:ascii="Arial" w:hAnsi="Arial" w:cs="Arial"/>
          <w:color w:val="7030A0"/>
        </w:rPr>
        <w:t xml:space="preserve">Para </w:t>
      </w:r>
      <w:r w:rsidR="00BB2778" w:rsidRPr="00B1312A">
        <w:rPr>
          <w:rFonts w:ascii="Arial" w:hAnsi="Arial" w:cs="Arial"/>
          <w:color w:val="7030A0"/>
        </w:rPr>
        <w:t xml:space="preserve">la obtención del certificado de discapacidad, el paciente con talla baja extrema debe </w:t>
      </w:r>
      <w:r w:rsidR="00B1312A">
        <w:rPr>
          <w:rFonts w:ascii="Arial" w:hAnsi="Arial" w:cs="Arial"/>
          <w:color w:val="7030A0"/>
        </w:rPr>
        <w:t>cumplir con los</w:t>
      </w:r>
      <w:r w:rsidR="001137EB" w:rsidRPr="00B1312A">
        <w:rPr>
          <w:rFonts w:ascii="Arial" w:hAnsi="Arial" w:cs="Arial"/>
          <w:color w:val="7030A0"/>
        </w:rPr>
        <w:t xml:space="preserve"> proceso</w:t>
      </w:r>
      <w:r w:rsidR="00B1312A">
        <w:rPr>
          <w:rFonts w:ascii="Arial" w:hAnsi="Arial" w:cs="Arial"/>
          <w:color w:val="7030A0"/>
        </w:rPr>
        <w:t>s</w:t>
      </w:r>
      <w:r w:rsidR="001137EB" w:rsidRPr="00B1312A">
        <w:rPr>
          <w:rFonts w:ascii="Arial" w:hAnsi="Arial" w:cs="Arial"/>
          <w:color w:val="7030A0"/>
        </w:rPr>
        <w:t xml:space="preserve"> de evaluació</w:t>
      </w:r>
      <w:r w:rsidR="00BB2778" w:rsidRPr="00B1312A">
        <w:rPr>
          <w:rFonts w:ascii="Arial" w:hAnsi="Arial" w:cs="Arial"/>
          <w:color w:val="7030A0"/>
        </w:rPr>
        <w:t>n, calificación y certificación; luego de</w:t>
      </w:r>
      <w:r w:rsidR="00B1312A">
        <w:rPr>
          <w:rFonts w:ascii="Arial" w:hAnsi="Arial" w:cs="Arial"/>
          <w:color w:val="7030A0"/>
        </w:rPr>
        <w:t xml:space="preserve"> los cuales </w:t>
      </w:r>
      <w:r w:rsidR="00BB2778" w:rsidRPr="00B1312A">
        <w:rPr>
          <w:rFonts w:ascii="Arial" w:hAnsi="Arial" w:cs="Arial"/>
          <w:color w:val="7030A0"/>
        </w:rPr>
        <w:t xml:space="preserve">se determinará la existencia de alguna discapacidad, y de ser así, </w:t>
      </w:r>
      <w:r w:rsidR="00B1312A">
        <w:rPr>
          <w:rFonts w:ascii="Arial" w:hAnsi="Arial" w:cs="Arial"/>
          <w:color w:val="7030A0"/>
        </w:rPr>
        <w:t>la gravedad de ésta.</w:t>
      </w:r>
    </w:p>
    <w:p w14:paraId="505D1EA3" w14:textId="77777777" w:rsidR="001137EB" w:rsidRDefault="001137EB" w:rsidP="009B17B3">
      <w:pPr>
        <w:spacing w:after="0" w:line="360" w:lineRule="auto"/>
        <w:jc w:val="both"/>
        <w:rPr>
          <w:rFonts w:ascii="Arial" w:hAnsi="Arial" w:cs="Arial"/>
        </w:rPr>
      </w:pPr>
    </w:p>
    <w:p w14:paraId="1F6D3898" w14:textId="77777777" w:rsidR="002968BA" w:rsidRDefault="002968BA" w:rsidP="009B17B3">
      <w:pPr>
        <w:spacing w:after="0" w:line="360" w:lineRule="auto"/>
        <w:jc w:val="both"/>
        <w:rPr>
          <w:rFonts w:ascii="Arial" w:hAnsi="Arial" w:cs="Arial"/>
        </w:rPr>
      </w:pPr>
      <w:r>
        <w:rPr>
          <w:rFonts w:ascii="Arial" w:hAnsi="Arial" w:cs="Arial"/>
        </w:rPr>
        <w:t>5.</w:t>
      </w:r>
      <w:r w:rsidR="00495AA9">
        <w:rPr>
          <w:rFonts w:ascii="Arial" w:hAnsi="Arial" w:cs="Arial"/>
        </w:rPr>
        <w:t>6</w:t>
      </w:r>
      <w:r>
        <w:rPr>
          <w:rFonts w:ascii="Arial" w:hAnsi="Arial" w:cs="Arial"/>
        </w:rPr>
        <w:t xml:space="preserve">. </w:t>
      </w:r>
      <w:r w:rsidR="00846A83">
        <w:rPr>
          <w:rFonts w:ascii="Arial" w:hAnsi="Arial" w:cs="Arial"/>
        </w:rPr>
        <w:t>Seguimiento</w:t>
      </w:r>
      <w:r w:rsidR="003C103D">
        <w:rPr>
          <w:rFonts w:ascii="Arial" w:hAnsi="Arial" w:cs="Arial"/>
        </w:rPr>
        <w:t xml:space="preserve"> </w:t>
      </w:r>
    </w:p>
    <w:p w14:paraId="3C20EFD8" w14:textId="77777777" w:rsidR="00B00250" w:rsidRPr="00864ABD" w:rsidRDefault="00846A83" w:rsidP="009B17B3">
      <w:pPr>
        <w:spacing w:after="0" w:line="360" w:lineRule="auto"/>
        <w:jc w:val="both"/>
        <w:rPr>
          <w:rFonts w:ascii="Arial" w:hAnsi="Arial" w:cs="Arial"/>
          <w:color w:val="FF0000"/>
        </w:rPr>
      </w:pPr>
      <w:r w:rsidRPr="00864ABD">
        <w:rPr>
          <w:rFonts w:ascii="Arial" w:hAnsi="Arial" w:cs="Arial"/>
          <w:color w:val="FF0000"/>
        </w:rPr>
        <w:t>De acuerdo a cada patología</w:t>
      </w:r>
    </w:p>
    <w:p w14:paraId="569DF607" w14:textId="77777777" w:rsidR="004D2B48" w:rsidRDefault="004D2B48" w:rsidP="009B17B3">
      <w:pPr>
        <w:spacing w:after="0" w:line="360" w:lineRule="auto"/>
        <w:jc w:val="both"/>
        <w:rPr>
          <w:rFonts w:ascii="Arial" w:hAnsi="Arial" w:cs="Arial"/>
          <w:color w:val="7030A0"/>
        </w:rPr>
      </w:pPr>
    </w:p>
    <w:p w14:paraId="04F44C1B" w14:textId="77777777" w:rsidR="00F772B6" w:rsidRPr="004D2B48" w:rsidRDefault="00F772B6" w:rsidP="009B17B3">
      <w:pPr>
        <w:spacing w:after="0" w:line="360" w:lineRule="auto"/>
        <w:jc w:val="both"/>
        <w:rPr>
          <w:rFonts w:ascii="Arial" w:hAnsi="Arial" w:cs="Arial"/>
          <w:color w:val="7030A0"/>
        </w:rPr>
      </w:pPr>
    </w:p>
    <w:p w14:paraId="2B1847F4" w14:textId="77777777" w:rsidR="002968BA" w:rsidRDefault="00846A83" w:rsidP="009B17B3">
      <w:pPr>
        <w:spacing w:after="0" w:line="360" w:lineRule="auto"/>
        <w:jc w:val="both"/>
        <w:rPr>
          <w:rFonts w:ascii="Arial" w:hAnsi="Arial" w:cs="Arial"/>
        </w:rPr>
      </w:pPr>
      <w:r>
        <w:rPr>
          <w:rFonts w:ascii="Arial" w:hAnsi="Arial" w:cs="Arial"/>
        </w:rPr>
        <w:t>5.</w:t>
      </w:r>
      <w:r w:rsidR="00625720">
        <w:rPr>
          <w:rFonts w:ascii="Arial" w:hAnsi="Arial" w:cs="Arial"/>
        </w:rPr>
        <w:t>7</w:t>
      </w:r>
      <w:r>
        <w:rPr>
          <w:rFonts w:ascii="Arial" w:hAnsi="Arial" w:cs="Arial"/>
        </w:rPr>
        <w:t>. Referencia y contrarreferencia.</w:t>
      </w:r>
    </w:p>
    <w:p w14:paraId="5D8D328E" w14:textId="77777777" w:rsidR="00B00250" w:rsidRDefault="00B00250" w:rsidP="009B17B3">
      <w:pPr>
        <w:spacing w:after="0" w:line="360" w:lineRule="auto"/>
        <w:jc w:val="both"/>
        <w:rPr>
          <w:rFonts w:ascii="Arial" w:hAnsi="Arial" w:cs="Arial"/>
        </w:rPr>
      </w:pPr>
    </w:p>
    <w:bookmarkEnd w:id="1"/>
    <w:p w14:paraId="16CEEB3C" w14:textId="77777777" w:rsidR="0023745E" w:rsidRDefault="0023745E" w:rsidP="009B17B3">
      <w:pPr>
        <w:spacing w:after="0" w:line="360" w:lineRule="auto"/>
        <w:jc w:val="both"/>
        <w:rPr>
          <w:rFonts w:ascii="Arial" w:hAnsi="Arial" w:cs="Arial"/>
        </w:rPr>
      </w:pPr>
    </w:p>
    <w:p w14:paraId="1B232D7F" w14:textId="77777777" w:rsidR="002968BA" w:rsidRDefault="002968BA" w:rsidP="009B17B3">
      <w:pPr>
        <w:spacing w:after="0" w:line="360" w:lineRule="auto"/>
        <w:jc w:val="both"/>
        <w:rPr>
          <w:rFonts w:ascii="Arial" w:hAnsi="Arial" w:cs="Arial"/>
        </w:rPr>
      </w:pPr>
      <w:r>
        <w:rPr>
          <w:rFonts w:ascii="Arial" w:hAnsi="Arial" w:cs="Arial"/>
        </w:rPr>
        <w:t>5.</w:t>
      </w:r>
      <w:r w:rsidR="00846A83">
        <w:rPr>
          <w:rFonts w:ascii="Arial" w:hAnsi="Arial" w:cs="Arial"/>
        </w:rPr>
        <w:t>9</w:t>
      </w:r>
      <w:r>
        <w:rPr>
          <w:rFonts w:ascii="Arial" w:hAnsi="Arial" w:cs="Arial"/>
        </w:rPr>
        <w:t>. Componentes:</w:t>
      </w:r>
    </w:p>
    <w:p w14:paraId="2F952CAA" w14:textId="77777777" w:rsidR="00B00250" w:rsidRDefault="00B00250" w:rsidP="009B17B3">
      <w:pPr>
        <w:spacing w:after="0" w:line="360" w:lineRule="auto"/>
        <w:jc w:val="both"/>
        <w:rPr>
          <w:rFonts w:ascii="Arial" w:hAnsi="Arial" w:cs="Arial"/>
        </w:rPr>
      </w:pPr>
    </w:p>
    <w:p w14:paraId="08DF5332" w14:textId="77777777" w:rsidR="002968BA" w:rsidRDefault="002968BA" w:rsidP="009B17B3">
      <w:pPr>
        <w:spacing w:after="0" w:line="360" w:lineRule="auto"/>
        <w:jc w:val="both"/>
        <w:rPr>
          <w:rFonts w:ascii="Arial" w:hAnsi="Arial" w:cs="Arial"/>
        </w:rPr>
      </w:pPr>
      <w:r>
        <w:rPr>
          <w:rFonts w:ascii="Arial" w:hAnsi="Arial" w:cs="Arial"/>
        </w:rPr>
        <w:t>5.8.1. Organización</w:t>
      </w:r>
      <w:r w:rsidR="00BD55A0">
        <w:rPr>
          <w:rFonts w:ascii="Arial" w:hAnsi="Arial" w:cs="Arial"/>
        </w:rPr>
        <w:t>: Procesos para reordenar la oferta sanitaria</w:t>
      </w:r>
    </w:p>
    <w:p w14:paraId="7A876C0B" w14:textId="77777777" w:rsidR="00BD55A0" w:rsidRPr="00BD55A0" w:rsidRDefault="00BD55A0" w:rsidP="009B17B3">
      <w:pPr>
        <w:spacing w:after="0" w:line="360" w:lineRule="auto"/>
        <w:jc w:val="both"/>
        <w:rPr>
          <w:rFonts w:ascii="Arial" w:hAnsi="Arial" w:cs="Arial"/>
          <w:color w:val="7030A0"/>
        </w:rPr>
      </w:pPr>
      <w:r w:rsidRPr="00BD55A0">
        <w:rPr>
          <w:rFonts w:ascii="Arial" w:hAnsi="Arial" w:cs="Arial"/>
          <w:color w:val="7030A0"/>
        </w:rPr>
        <w:t>Organiza recursos humanos según niveles, interd</w:t>
      </w:r>
      <w:r>
        <w:rPr>
          <w:rFonts w:ascii="Arial" w:hAnsi="Arial" w:cs="Arial"/>
          <w:color w:val="7030A0"/>
        </w:rPr>
        <w:t>e</w:t>
      </w:r>
      <w:r w:rsidRPr="00BD55A0">
        <w:rPr>
          <w:rFonts w:ascii="Arial" w:hAnsi="Arial" w:cs="Arial"/>
          <w:color w:val="7030A0"/>
        </w:rPr>
        <w:t>pendencia de servicios, infraestructura física, flujos horarios de atención, guías de PC.</w:t>
      </w:r>
    </w:p>
    <w:p w14:paraId="3848DBC1" w14:textId="77777777" w:rsidR="00BD55A0" w:rsidRDefault="00BD55A0" w:rsidP="009B17B3">
      <w:pPr>
        <w:spacing w:after="0" w:line="360" w:lineRule="auto"/>
        <w:jc w:val="both"/>
        <w:rPr>
          <w:rFonts w:ascii="Arial" w:hAnsi="Arial" w:cs="Arial"/>
        </w:rPr>
      </w:pPr>
    </w:p>
    <w:p w14:paraId="5E235B65" w14:textId="77777777" w:rsidR="00B00250" w:rsidRDefault="00B00250" w:rsidP="009B17B3">
      <w:pPr>
        <w:spacing w:after="0" w:line="360" w:lineRule="auto"/>
        <w:jc w:val="both"/>
        <w:rPr>
          <w:rFonts w:ascii="Arial" w:hAnsi="Arial" w:cs="Arial"/>
        </w:rPr>
      </w:pPr>
    </w:p>
    <w:p w14:paraId="0D761B32" w14:textId="77777777" w:rsidR="002968BA" w:rsidRDefault="002968BA" w:rsidP="009B17B3">
      <w:pPr>
        <w:spacing w:after="0" w:line="360" w:lineRule="auto"/>
        <w:jc w:val="both"/>
        <w:rPr>
          <w:rFonts w:ascii="Arial" w:hAnsi="Arial" w:cs="Arial"/>
        </w:rPr>
      </w:pPr>
      <w:r>
        <w:rPr>
          <w:rFonts w:ascii="Arial" w:hAnsi="Arial" w:cs="Arial"/>
        </w:rPr>
        <w:t>5.8.2. Prestación</w:t>
      </w:r>
    </w:p>
    <w:p w14:paraId="06FDF70E" w14:textId="77777777" w:rsidR="00B00250" w:rsidRPr="00A57CB3" w:rsidRDefault="00A57CB3" w:rsidP="009B17B3">
      <w:pPr>
        <w:spacing w:after="0" w:line="360" w:lineRule="auto"/>
        <w:jc w:val="both"/>
        <w:rPr>
          <w:rFonts w:ascii="Arial" w:hAnsi="Arial" w:cs="Arial"/>
          <w:color w:val="7030A0"/>
        </w:rPr>
      </w:pPr>
      <w:r w:rsidRPr="00A57CB3">
        <w:rPr>
          <w:rFonts w:ascii="Arial" w:hAnsi="Arial" w:cs="Arial"/>
          <w:color w:val="7030A0"/>
        </w:rPr>
        <w:t>Estrategias de promoción, prevención, recuperación y rehabilitación:</w:t>
      </w:r>
    </w:p>
    <w:p w14:paraId="57FB75CD" w14:textId="77777777" w:rsidR="00A57CB3" w:rsidRPr="00A57CB3" w:rsidRDefault="00A57CB3" w:rsidP="009B17B3">
      <w:pPr>
        <w:spacing w:after="0" w:line="360" w:lineRule="auto"/>
        <w:jc w:val="both"/>
        <w:rPr>
          <w:rFonts w:ascii="Arial" w:hAnsi="Arial" w:cs="Arial"/>
          <w:color w:val="7030A0"/>
        </w:rPr>
      </w:pPr>
      <w:r w:rsidRPr="00A57CB3">
        <w:rPr>
          <w:rFonts w:ascii="Arial" w:hAnsi="Arial" w:cs="Arial"/>
          <w:color w:val="7030A0"/>
        </w:rPr>
        <w:t>Atención: captación, admisión…</w:t>
      </w:r>
    </w:p>
    <w:p w14:paraId="64E32FA2" w14:textId="77777777" w:rsidR="00A57CB3" w:rsidRDefault="00A57CB3" w:rsidP="009B17B3">
      <w:pPr>
        <w:spacing w:after="0" w:line="360" w:lineRule="auto"/>
        <w:jc w:val="both"/>
        <w:rPr>
          <w:rFonts w:ascii="Arial" w:hAnsi="Arial" w:cs="Arial"/>
        </w:rPr>
      </w:pPr>
    </w:p>
    <w:p w14:paraId="7AA744D9" w14:textId="77777777" w:rsidR="002968BA" w:rsidRDefault="002968BA" w:rsidP="009B17B3">
      <w:pPr>
        <w:spacing w:after="0" w:line="360" w:lineRule="auto"/>
        <w:jc w:val="both"/>
        <w:rPr>
          <w:rFonts w:ascii="Arial" w:hAnsi="Arial" w:cs="Arial"/>
        </w:rPr>
      </w:pPr>
      <w:r>
        <w:rPr>
          <w:rFonts w:ascii="Arial" w:hAnsi="Arial" w:cs="Arial"/>
        </w:rPr>
        <w:t>5.8.3. Gestión</w:t>
      </w:r>
    </w:p>
    <w:p w14:paraId="7E09215B" w14:textId="77777777" w:rsidR="00B00250" w:rsidRPr="00853E70" w:rsidRDefault="00853E70" w:rsidP="009B17B3">
      <w:pPr>
        <w:spacing w:after="0" w:line="360" w:lineRule="auto"/>
        <w:jc w:val="both"/>
        <w:rPr>
          <w:rFonts w:ascii="Arial" w:hAnsi="Arial" w:cs="Arial"/>
          <w:color w:val="7030A0"/>
        </w:rPr>
      </w:pPr>
      <w:r w:rsidRPr="00853E70">
        <w:rPr>
          <w:rFonts w:ascii="Arial" w:hAnsi="Arial" w:cs="Arial"/>
          <w:color w:val="7030A0"/>
        </w:rPr>
        <w:t>Procesos para organizar e implementar según las necesidades del grupo</w:t>
      </w:r>
    </w:p>
    <w:p w14:paraId="3F5188E2" w14:textId="77777777" w:rsidR="00853E70" w:rsidRPr="00853E70" w:rsidRDefault="00853E70" w:rsidP="009B17B3">
      <w:pPr>
        <w:spacing w:after="0" w:line="360" w:lineRule="auto"/>
        <w:jc w:val="both"/>
        <w:rPr>
          <w:rFonts w:ascii="Arial" w:hAnsi="Arial" w:cs="Arial"/>
          <w:color w:val="7030A0"/>
        </w:rPr>
      </w:pPr>
      <w:r w:rsidRPr="00853E70">
        <w:rPr>
          <w:rFonts w:ascii="Arial" w:hAnsi="Arial" w:cs="Arial"/>
          <w:color w:val="7030A0"/>
        </w:rPr>
        <w:t>Programación</w:t>
      </w:r>
    </w:p>
    <w:p w14:paraId="35FD2470" w14:textId="77777777" w:rsidR="00853E70" w:rsidRPr="00853E70" w:rsidRDefault="00853E70" w:rsidP="009B17B3">
      <w:pPr>
        <w:spacing w:after="0" w:line="360" w:lineRule="auto"/>
        <w:jc w:val="both"/>
        <w:rPr>
          <w:rFonts w:ascii="Arial" w:hAnsi="Arial" w:cs="Arial"/>
          <w:color w:val="7030A0"/>
        </w:rPr>
      </w:pPr>
      <w:r w:rsidRPr="00853E70">
        <w:rPr>
          <w:rFonts w:ascii="Arial" w:hAnsi="Arial" w:cs="Arial"/>
          <w:color w:val="7030A0"/>
        </w:rPr>
        <w:t>Asistencia técnica</w:t>
      </w:r>
    </w:p>
    <w:p w14:paraId="4B6BAA76" w14:textId="77777777" w:rsidR="00853E70" w:rsidRPr="00853E70" w:rsidRDefault="00853E70" w:rsidP="009B17B3">
      <w:pPr>
        <w:spacing w:after="0" w:line="360" w:lineRule="auto"/>
        <w:jc w:val="both"/>
        <w:rPr>
          <w:rFonts w:ascii="Arial" w:hAnsi="Arial" w:cs="Arial"/>
          <w:color w:val="7030A0"/>
        </w:rPr>
      </w:pPr>
      <w:r w:rsidRPr="00853E70">
        <w:rPr>
          <w:rFonts w:ascii="Arial" w:hAnsi="Arial" w:cs="Arial"/>
          <w:color w:val="7030A0"/>
        </w:rPr>
        <w:t>Conocimiento: otorgar capacitaciones</w:t>
      </w:r>
    </w:p>
    <w:p w14:paraId="7C775F88" w14:textId="77777777" w:rsidR="00853E70" w:rsidRPr="00853E70" w:rsidRDefault="00853E70" w:rsidP="009B17B3">
      <w:pPr>
        <w:spacing w:after="0" w:line="360" w:lineRule="auto"/>
        <w:jc w:val="both"/>
        <w:rPr>
          <w:rFonts w:ascii="Arial" w:hAnsi="Arial" w:cs="Arial"/>
          <w:color w:val="7030A0"/>
        </w:rPr>
      </w:pPr>
      <w:r w:rsidRPr="00853E70">
        <w:rPr>
          <w:rFonts w:ascii="Arial" w:hAnsi="Arial" w:cs="Arial"/>
          <w:color w:val="7030A0"/>
        </w:rPr>
        <w:t>Gestión de la información: HIS, Diresas deben supervisar el número.</w:t>
      </w:r>
    </w:p>
    <w:p w14:paraId="0A98EF7A" w14:textId="77777777" w:rsidR="00853E70" w:rsidRPr="00853E70" w:rsidRDefault="00853E70" w:rsidP="009B17B3">
      <w:pPr>
        <w:spacing w:after="0" w:line="360" w:lineRule="auto"/>
        <w:jc w:val="both"/>
        <w:rPr>
          <w:rFonts w:ascii="Arial" w:hAnsi="Arial" w:cs="Arial"/>
          <w:color w:val="7030A0"/>
        </w:rPr>
      </w:pPr>
      <w:r w:rsidRPr="00853E70">
        <w:rPr>
          <w:rFonts w:ascii="Arial" w:hAnsi="Arial" w:cs="Arial"/>
          <w:color w:val="7030A0"/>
        </w:rPr>
        <w:t>Investigación</w:t>
      </w:r>
    </w:p>
    <w:p w14:paraId="2827D398" w14:textId="77777777" w:rsidR="00853E70" w:rsidRPr="00853E70" w:rsidRDefault="00853E70" w:rsidP="009B17B3">
      <w:pPr>
        <w:spacing w:after="0" w:line="360" w:lineRule="auto"/>
        <w:jc w:val="both"/>
        <w:rPr>
          <w:rFonts w:ascii="Arial" w:hAnsi="Arial" w:cs="Arial"/>
          <w:color w:val="7030A0"/>
        </w:rPr>
      </w:pPr>
      <w:r w:rsidRPr="00853E70">
        <w:rPr>
          <w:rFonts w:ascii="Arial" w:hAnsi="Arial" w:cs="Arial"/>
          <w:color w:val="7030A0"/>
        </w:rPr>
        <w:t>Vigilancia epidemiológica</w:t>
      </w:r>
    </w:p>
    <w:p w14:paraId="1AED3182" w14:textId="77777777" w:rsidR="00853E70" w:rsidRPr="00853E70" w:rsidRDefault="00853E70" w:rsidP="009B17B3">
      <w:pPr>
        <w:spacing w:after="0" w:line="360" w:lineRule="auto"/>
        <w:jc w:val="both"/>
        <w:rPr>
          <w:rFonts w:ascii="Arial" w:hAnsi="Arial" w:cs="Arial"/>
          <w:color w:val="7030A0"/>
        </w:rPr>
      </w:pPr>
      <w:r w:rsidRPr="00853E70">
        <w:rPr>
          <w:rFonts w:ascii="Arial" w:hAnsi="Arial" w:cs="Arial"/>
          <w:color w:val="7030A0"/>
        </w:rPr>
        <w:t>Indicadores</w:t>
      </w:r>
    </w:p>
    <w:p w14:paraId="1891000D" w14:textId="77777777" w:rsidR="00853E70" w:rsidRPr="005F2FD6" w:rsidRDefault="00853E70" w:rsidP="005F2FD6">
      <w:pPr>
        <w:pStyle w:val="Prrafodelista"/>
        <w:numPr>
          <w:ilvl w:val="0"/>
          <w:numId w:val="2"/>
        </w:numPr>
        <w:spacing w:after="0" w:line="360" w:lineRule="auto"/>
        <w:jc w:val="both"/>
        <w:rPr>
          <w:rFonts w:ascii="Arial" w:hAnsi="Arial" w:cs="Arial"/>
          <w:color w:val="7030A0"/>
        </w:rPr>
      </w:pPr>
      <w:r w:rsidRPr="005F2FD6">
        <w:rPr>
          <w:rFonts w:ascii="Arial" w:hAnsi="Arial" w:cs="Arial"/>
          <w:color w:val="7030A0"/>
        </w:rPr>
        <w:t>De estructura</w:t>
      </w:r>
      <w:r w:rsidR="005F2FD6" w:rsidRPr="005F2FD6">
        <w:rPr>
          <w:rFonts w:ascii="Arial" w:hAnsi="Arial" w:cs="Arial"/>
          <w:color w:val="7030A0"/>
        </w:rPr>
        <w:t>: cómo el Sistema de Salud está organizado y equipado   . Permiten saber si los RECURSOS están disponibles y organizados, para facilitar</w:t>
      </w:r>
      <w:r w:rsidR="005F2FD6">
        <w:rPr>
          <w:rFonts w:ascii="Arial" w:hAnsi="Arial" w:cs="Arial"/>
          <w:color w:val="7030A0"/>
        </w:rPr>
        <w:t xml:space="preserve"> </w:t>
      </w:r>
      <w:r w:rsidR="005F2FD6" w:rsidRPr="005F2FD6">
        <w:rPr>
          <w:rFonts w:ascii="Arial" w:hAnsi="Arial" w:cs="Arial"/>
          <w:color w:val="7030A0"/>
        </w:rPr>
        <w:t xml:space="preserve"> la atención al usuario .</w:t>
      </w:r>
      <w:r w:rsidR="005F2FD6">
        <w:rPr>
          <w:rFonts w:ascii="Arial" w:hAnsi="Arial" w:cs="Arial"/>
          <w:color w:val="7030A0"/>
        </w:rPr>
        <w:t xml:space="preserve"> Recursos, estructura organizacional.</w:t>
      </w:r>
    </w:p>
    <w:p w14:paraId="0DBBB291" w14:textId="77777777" w:rsidR="00853E70" w:rsidRPr="005F2FD6" w:rsidRDefault="00853E70" w:rsidP="005F2FD6">
      <w:pPr>
        <w:pStyle w:val="Prrafodelista"/>
        <w:numPr>
          <w:ilvl w:val="0"/>
          <w:numId w:val="2"/>
        </w:numPr>
        <w:spacing w:after="0" w:line="360" w:lineRule="auto"/>
        <w:jc w:val="both"/>
        <w:rPr>
          <w:rFonts w:ascii="Arial" w:hAnsi="Arial" w:cs="Arial"/>
          <w:color w:val="7030A0"/>
        </w:rPr>
      </w:pPr>
      <w:r w:rsidRPr="005F2FD6">
        <w:rPr>
          <w:rFonts w:ascii="Arial" w:hAnsi="Arial" w:cs="Arial"/>
          <w:color w:val="7030A0"/>
        </w:rPr>
        <w:t>De proceso</w:t>
      </w:r>
      <w:r w:rsidR="005F2FD6" w:rsidRPr="005F2FD6">
        <w:rPr>
          <w:rFonts w:ascii="Arial" w:hAnsi="Arial" w:cs="Arial"/>
          <w:color w:val="7030A0"/>
        </w:rPr>
        <w:t>: Focalizan en el CÓMO la atención es otorgada</w:t>
      </w:r>
      <w:r w:rsidR="005F2FD6">
        <w:rPr>
          <w:rFonts w:ascii="Arial" w:hAnsi="Arial" w:cs="Arial"/>
          <w:color w:val="7030A0"/>
        </w:rPr>
        <w:t>.</w:t>
      </w:r>
      <w:r w:rsidR="005F2FD6" w:rsidRPr="005F2FD6">
        <w:rPr>
          <w:rFonts w:ascii="Arial" w:hAnsi="Arial" w:cs="Arial"/>
          <w:color w:val="7030A0"/>
        </w:rPr>
        <w:t xml:space="preserve"> Miden si todos los PASOS de un PROCESO si hicieron correctamente.</w:t>
      </w:r>
    </w:p>
    <w:p w14:paraId="74BE0EDC" w14:textId="77777777" w:rsidR="00853E70" w:rsidRPr="008B75C7" w:rsidRDefault="00853E70" w:rsidP="008B75C7">
      <w:pPr>
        <w:pStyle w:val="Prrafodelista"/>
        <w:numPr>
          <w:ilvl w:val="0"/>
          <w:numId w:val="2"/>
        </w:numPr>
        <w:spacing w:after="0" w:line="360" w:lineRule="auto"/>
        <w:jc w:val="both"/>
        <w:rPr>
          <w:rFonts w:ascii="Arial" w:hAnsi="Arial" w:cs="Arial"/>
          <w:color w:val="7030A0"/>
        </w:rPr>
      </w:pPr>
      <w:r w:rsidRPr="008B75C7">
        <w:rPr>
          <w:rFonts w:ascii="Arial" w:hAnsi="Arial" w:cs="Arial"/>
          <w:color w:val="7030A0"/>
        </w:rPr>
        <w:t>De resul</w:t>
      </w:r>
      <w:r w:rsidR="005F2FD6" w:rsidRPr="008B75C7">
        <w:rPr>
          <w:rFonts w:ascii="Arial" w:hAnsi="Arial" w:cs="Arial"/>
          <w:color w:val="7030A0"/>
        </w:rPr>
        <w:t>t</w:t>
      </w:r>
      <w:r w:rsidRPr="008B75C7">
        <w:rPr>
          <w:rFonts w:ascii="Arial" w:hAnsi="Arial" w:cs="Arial"/>
          <w:color w:val="7030A0"/>
        </w:rPr>
        <w:t>ado</w:t>
      </w:r>
      <w:r w:rsidR="008B75C7" w:rsidRPr="008B75C7">
        <w:rPr>
          <w:rFonts w:ascii="Arial" w:hAnsi="Arial" w:cs="Arial"/>
          <w:color w:val="7030A0"/>
        </w:rPr>
        <w:t>: MIDEN la efectividad de la atención ; el grado en que la atención otorgada al usuario produjo el efecto deseado.</w:t>
      </w:r>
    </w:p>
    <w:p w14:paraId="3A4CF1E0" w14:textId="77777777" w:rsidR="00853E70" w:rsidRPr="00853E70" w:rsidRDefault="00853E70" w:rsidP="00853E70">
      <w:pPr>
        <w:pStyle w:val="Prrafodelista"/>
        <w:spacing w:after="0" w:line="360" w:lineRule="auto"/>
        <w:jc w:val="both"/>
        <w:rPr>
          <w:rFonts w:ascii="Arial" w:hAnsi="Arial" w:cs="Arial"/>
        </w:rPr>
      </w:pPr>
    </w:p>
    <w:p w14:paraId="34E80434" w14:textId="77777777" w:rsidR="002968BA" w:rsidRDefault="002968BA" w:rsidP="009B17B3">
      <w:pPr>
        <w:spacing w:after="0" w:line="360" w:lineRule="auto"/>
        <w:jc w:val="both"/>
        <w:rPr>
          <w:rFonts w:ascii="Arial" w:hAnsi="Arial" w:cs="Arial"/>
        </w:rPr>
      </w:pPr>
      <w:r>
        <w:rPr>
          <w:rFonts w:ascii="Arial" w:hAnsi="Arial" w:cs="Arial"/>
        </w:rPr>
        <w:t>5.8.4. Financiamiento</w:t>
      </w:r>
    </w:p>
    <w:p w14:paraId="43F612F6" w14:textId="77777777" w:rsidR="00681A50" w:rsidRDefault="00681A50" w:rsidP="009B17B3">
      <w:pPr>
        <w:spacing w:after="0" w:line="360" w:lineRule="auto"/>
        <w:jc w:val="both"/>
        <w:rPr>
          <w:rFonts w:ascii="Arial" w:hAnsi="Arial" w:cs="Arial"/>
        </w:rPr>
      </w:pPr>
      <w:r>
        <w:rPr>
          <w:rFonts w:ascii="Arial" w:hAnsi="Arial" w:cs="Arial"/>
        </w:rPr>
        <w:t>Recursos de reconoc público.</w:t>
      </w:r>
    </w:p>
    <w:p w14:paraId="52423990" w14:textId="77777777" w:rsidR="009B17B3" w:rsidRDefault="009B17B3" w:rsidP="009B17B3">
      <w:pPr>
        <w:spacing w:after="0" w:line="360" w:lineRule="auto"/>
        <w:ind w:left="426"/>
        <w:jc w:val="both"/>
        <w:rPr>
          <w:rFonts w:ascii="Arial" w:hAnsi="Arial" w:cs="Arial"/>
        </w:rPr>
      </w:pPr>
    </w:p>
    <w:p w14:paraId="51A72D1E" w14:textId="77777777" w:rsidR="00C42E5C" w:rsidRDefault="00C42E5C" w:rsidP="009B17B3">
      <w:pPr>
        <w:spacing w:after="0" w:line="360" w:lineRule="auto"/>
        <w:ind w:left="426"/>
        <w:jc w:val="both"/>
        <w:rPr>
          <w:rFonts w:ascii="Arial" w:hAnsi="Arial" w:cs="Arial"/>
        </w:rPr>
      </w:pPr>
      <w:r>
        <w:rPr>
          <w:rFonts w:ascii="Arial" w:hAnsi="Arial" w:cs="Arial"/>
        </w:rPr>
        <w:t>INDICADORES:</w:t>
      </w:r>
    </w:p>
    <w:p w14:paraId="157AAFA4" w14:textId="77777777" w:rsidR="00C42E5C" w:rsidRDefault="00C42E5C" w:rsidP="009B17B3">
      <w:pPr>
        <w:spacing w:after="0" w:line="360" w:lineRule="auto"/>
        <w:ind w:left="426"/>
        <w:jc w:val="both"/>
        <w:rPr>
          <w:rFonts w:ascii="Arial" w:hAnsi="Arial" w:cs="Arial"/>
        </w:rPr>
      </w:pPr>
      <w:r>
        <w:rPr>
          <w:rFonts w:ascii="Arial" w:hAnsi="Arial" w:cs="Arial"/>
        </w:rPr>
        <w:t>Inclusión</w:t>
      </w:r>
    </w:p>
    <w:p w14:paraId="1EB0F4F5" w14:textId="77777777" w:rsidR="00CA6695" w:rsidRDefault="00CA6695" w:rsidP="009B17B3">
      <w:pPr>
        <w:spacing w:after="0" w:line="360" w:lineRule="auto"/>
        <w:jc w:val="both"/>
        <w:rPr>
          <w:rFonts w:ascii="Arial" w:hAnsi="Arial" w:cs="Arial"/>
          <w:b/>
        </w:rPr>
      </w:pPr>
    </w:p>
    <w:p w14:paraId="05B20E55" w14:textId="77777777" w:rsidR="009B17B3" w:rsidRPr="00DE3449" w:rsidRDefault="009B17B3" w:rsidP="009B17B3">
      <w:pPr>
        <w:spacing w:after="0" w:line="360" w:lineRule="auto"/>
        <w:jc w:val="both"/>
        <w:rPr>
          <w:rFonts w:ascii="Arial" w:hAnsi="Arial" w:cs="Arial"/>
          <w:b/>
        </w:rPr>
      </w:pPr>
      <w:r w:rsidRPr="00DE3449">
        <w:rPr>
          <w:rFonts w:ascii="Arial" w:hAnsi="Arial" w:cs="Arial"/>
          <w:b/>
        </w:rPr>
        <w:t xml:space="preserve">VI. Responsabilidades en los diversos niveles: </w:t>
      </w:r>
    </w:p>
    <w:p w14:paraId="1ADC969E" w14:textId="77777777" w:rsidR="009B17B3" w:rsidRPr="00DE3449" w:rsidRDefault="00DE3449" w:rsidP="009B17B3">
      <w:pPr>
        <w:spacing w:after="0" w:line="360" w:lineRule="auto"/>
        <w:jc w:val="both"/>
        <w:rPr>
          <w:rFonts w:ascii="Arial" w:hAnsi="Arial" w:cs="Arial"/>
          <w:b/>
        </w:rPr>
      </w:pPr>
      <w:r w:rsidRPr="00DE3449">
        <w:rPr>
          <w:rFonts w:ascii="Arial" w:hAnsi="Arial" w:cs="Arial"/>
          <w:b/>
        </w:rPr>
        <w:t xml:space="preserve">6.1. </w:t>
      </w:r>
      <w:r w:rsidR="009B17B3" w:rsidRPr="00DE3449">
        <w:rPr>
          <w:rFonts w:ascii="Arial" w:hAnsi="Arial" w:cs="Arial"/>
          <w:b/>
        </w:rPr>
        <w:t>Nacional</w:t>
      </w:r>
    </w:p>
    <w:p w14:paraId="1B8AE6AB" w14:textId="77777777" w:rsidR="009B17B3" w:rsidRPr="00CE6956" w:rsidRDefault="009B17B3" w:rsidP="009B17B3">
      <w:pPr>
        <w:spacing w:after="0" w:line="360" w:lineRule="auto"/>
        <w:jc w:val="both"/>
        <w:rPr>
          <w:rFonts w:ascii="Arial" w:hAnsi="Arial" w:cs="Arial"/>
        </w:rPr>
      </w:pPr>
    </w:p>
    <w:p w14:paraId="3ABFFB99" w14:textId="77777777" w:rsidR="009B17B3" w:rsidRPr="00CE6956" w:rsidRDefault="00DE3449" w:rsidP="009B17B3">
      <w:pPr>
        <w:spacing w:after="0" w:line="360" w:lineRule="auto"/>
        <w:jc w:val="both"/>
        <w:rPr>
          <w:rFonts w:ascii="Arial" w:hAnsi="Arial" w:cs="Arial"/>
        </w:rPr>
      </w:pPr>
      <w:r w:rsidRPr="00DE3449">
        <w:rPr>
          <w:rFonts w:ascii="Arial" w:hAnsi="Arial" w:cs="Arial"/>
          <w:b/>
        </w:rPr>
        <w:t xml:space="preserve">6.2. </w:t>
      </w:r>
      <w:r w:rsidR="009B17B3" w:rsidRPr="00DE3449">
        <w:rPr>
          <w:rFonts w:ascii="Arial" w:hAnsi="Arial" w:cs="Arial"/>
          <w:b/>
        </w:rPr>
        <w:t>Regional</w:t>
      </w:r>
    </w:p>
    <w:p w14:paraId="7223EF60" w14:textId="77777777" w:rsidR="009B17B3" w:rsidRPr="00CE6956" w:rsidRDefault="009B17B3" w:rsidP="009B17B3">
      <w:pPr>
        <w:spacing w:after="0" w:line="360" w:lineRule="auto"/>
        <w:jc w:val="both"/>
        <w:rPr>
          <w:rFonts w:ascii="Arial" w:hAnsi="Arial" w:cs="Arial"/>
        </w:rPr>
      </w:pPr>
    </w:p>
    <w:p w14:paraId="67A32B10" w14:textId="77777777" w:rsidR="009B17B3" w:rsidRPr="00CE6956" w:rsidRDefault="00DE3449" w:rsidP="009B17B3">
      <w:pPr>
        <w:spacing w:after="0" w:line="360" w:lineRule="auto"/>
        <w:jc w:val="both"/>
        <w:rPr>
          <w:rFonts w:ascii="Arial" w:hAnsi="Arial" w:cs="Arial"/>
        </w:rPr>
      </w:pPr>
      <w:r w:rsidRPr="00DE3449">
        <w:rPr>
          <w:rFonts w:ascii="Arial" w:hAnsi="Arial" w:cs="Arial"/>
          <w:b/>
        </w:rPr>
        <w:t xml:space="preserve">6.3. </w:t>
      </w:r>
      <w:r w:rsidR="009B17B3" w:rsidRPr="00DE3449">
        <w:rPr>
          <w:rFonts w:ascii="Arial" w:hAnsi="Arial" w:cs="Arial"/>
          <w:b/>
        </w:rPr>
        <w:t>Local</w:t>
      </w:r>
    </w:p>
    <w:p w14:paraId="79B7E1F2" w14:textId="77777777" w:rsidR="009B17B3" w:rsidRPr="00CE6956" w:rsidRDefault="009B17B3" w:rsidP="009B17B3">
      <w:pPr>
        <w:spacing w:after="0" w:line="360" w:lineRule="auto"/>
        <w:jc w:val="both"/>
        <w:rPr>
          <w:rFonts w:ascii="Arial" w:hAnsi="Arial" w:cs="Arial"/>
        </w:rPr>
      </w:pPr>
    </w:p>
    <w:p w14:paraId="1E63F8A7" w14:textId="77777777" w:rsidR="009B17B3" w:rsidRPr="00CE6956" w:rsidRDefault="009B17B3" w:rsidP="009B17B3">
      <w:pPr>
        <w:spacing w:after="0" w:line="360" w:lineRule="auto"/>
        <w:jc w:val="both"/>
        <w:rPr>
          <w:rFonts w:ascii="Arial" w:hAnsi="Arial" w:cs="Arial"/>
        </w:rPr>
      </w:pPr>
    </w:p>
    <w:p w14:paraId="7C46DC55" w14:textId="77777777" w:rsidR="009B17B3" w:rsidRPr="00144570" w:rsidRDefault="009B17B3" w:rsidP="009B17B3">
      <w:pPr>
        <w:spacing w:after="0" w:line="360" w:lineRule="auto"/>
        <w:jc w:val="both"/>
        <w:rPr>
          <w:rFonts w:ascii="Arial" w:hAnsi="Arial" w:cs="Arial"/>
          <w:b/>
        </w:rPr>
      </w:pPr>
      <w:r w:rsidRPr="00144570">
        <w:rPr>
          <w:rFonts w:ascii="Arial" w:hAnsi="Arial" w:cs="Arial"/>
          <w:b/>
        </w:rPr>
        <w:t>VII. Disposiciones finales</w:t>
      </w:r>
    </w:p>
    <w:p w14:paraId="457F9586" w14:textId="77777777" w:rsidR="009B17B3" w:rsidRPr="00CE6956" w:rsidRDefault="009B17B3" w:rsidP="009B17B3">
      <w:pPr>
        <w:spacing w:after="0" w:line="360" w:lineRule="auto"/>
        <w:jc w:val="both"/>
        <w:rPr>
          <w:rFonts w:ascii="Arial" w:hAnsi="Arial" w:cs="Arial"/>
        </w:rPr>
      </w:pPr>
    </w:p>
    <w:p w14:paraId="4A981E34" w14:textId="77777777" w:rsidR="009B17B3" w:rsidRPr="00CE6956" w:rsidRDefault="009B17B3" w:rsidP="009B17B3">
      <w:pPr>
        <w:spacing w:after="0" w:line="360" w:lineRule="auto"/>
        <w:jc w:val="both"/>
        <w:rPr>
          <w:rFonts w:ascii="Arial" w:hAnsi="Arial" w:cs="Arial"/>
        </w:rPr>
      </w:pPr>
    </w:p>
    <w:p w14:paraId="48CB99A4" w14:textId="77777777" w:rsidR="009B17B3" w:rsidRPr="00144570" w:rsidRDefault="009B17B3" w:rsidP="009B17B3">
      <w:pPr>
        <w:spacing w:after="0" w:line="360" w:lineRule="auto"/>
        <w:jc w:val="both"/>
        <w:rPr>
          <w:rFonts w:ascii="Arial" w:hAnsi="Arial" w:cs="Arial"/>
          <w:b/>
        </w:rPr>
      </w:pPr>
      <w:r w:rsidRPr="00144570">
        <w:rPr>
          <w:rFonts w:ascii="Arial" w:hAnsi="Arial" w:cs="Arial"/>
          <w:b/>
        </w:rPr>
        <w:t xml:space="preserve">VIII. Anexo </w:t>
      </w:r>
    </w:p>
    <w:p w14:paraId="45D1FFDF" w14:textId="77777777" w:rsidR="009B17B3" w:rsidRPr="00CE6956" w:rsidRDefault="009B17B3" w:rsidP="009B17B3">
      <w:pPr>
        <w:spacing w:after="0" w:line="360" w:lineRule="auto"/>
        <w:jc w:val="both"/>
        <w:rPr>
          <w:rFonts w:ascii="Arial" w:hAnsi="Arial" w:cs="Arial"/>
        </w:rPr>
      </w:pPr>
    </w:p>
    <w:p w14:paraId="2451D8F1" w14:textId="77777777" w:rsidR="009B17B3" w:rsidRPr="00CE6956" w:rsidRDefault="009B17B3" w:rsidP="009B17B3">
      <w:pPr>
        <w:spacing w:after="0" w:line="360" w:lineRule="auto"/>
        <w:jc w:val="both"/>
        <w:rPr>
          <w:rFonts w:ascii="Arial" w:hAnsi="Arial" w:cs="Arial"/>
        </w:rPr>
      </w:pPr>
    </w:p>
    <w:p w14:paraId="72FC619A" w14:textId="77777777" w:rsidR="009B17B3" w:rsidRPr="00CE6956" w:rsidRDefault="009B17B3" w:rsidP="009B17B3">
      <w:pPr>
        <w:spacing w:after="0" w:line="360" w:lineRule="auto"/>
        <w:jc w:val="both"/>
        <w:rPr>
          <w:rFonts w:ascii="Arial" w:hAnsi="Arial" w:cs="Arial"/>
        </w:rPr>
      </w:pPr>
    </w:p>
    <w:p w14:paraId="573938CB" w14:textId="77777777" w:rsidR="009B17B3" w:rsidRPr="00144570" w:rsidRDefault="009B17B3" w:rsidP="009B17B3">
      <w:pPr>
        <w:spacing w:after="0" w:line="360" w:lineRule="auto"/>
        <w:jc w:val="both"/>
        <w:rPr>
          <w:rFonts w:ascii="Arial" w:hAnsi="Arial" w:cs="Arial"/>
          <w:b/>
        </w:rPr>
      </w:pPr>
      <w:r w:rsidRPr="00144570">
        <w:rPr>
          <w:rFonts w:ascii="Arial" w:hAnsi="Arial" w:cs="Arial"/>
          <w:b/>
        </w:rPr>
        <w:t>IX. Bibliografía</w:t>
      </w:r>
    </w:p>
    <w:p w14:paraId="4944BAA8" w14:textId="77777777" w:rsidR="00772CC8" w:rsidRPr="00CE6956" w:rsidRDefault="00772CC8"/>
    <w:sectPr w:rsidR="00772CC8" w:rsidRPr="00CE695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ugo Abarca-Barriga" w:date="2019-06-03T06:44:00Z" w:initials="HA">
    <w:p w14:paraId="49ED0E47" w14:textId="77777777" w:rsidR="00A851CD" w:rsidRDefault="00A851CD" w:rsidP="00A851CD">
      <w:pPr>
        <w:pStyle w:val="NormalWeb"/>
      </w:pPr>
      <w:r>
        <w:rPr>
          <w:rStyle w:val="Refdecomentario"/>
        </w:rPr>
        <w:annotationRef/>
      </w:r>
      <w:r>
        <w:t xml:space="preserve">Referencia: </w:t>
      </w:r>
      <w:r>
        <w:rPr>
          <w:rFonts w:ascii="Calibri" w:hAnsi="Calibri" w:cs="Calibri"/>
          <w:i/>
          <w:iCs/>
          <w:sz w:val="14"/>
          <w:szCs w:val="14"/>
        </w:rPr>
        <w:t>Abarca Barriga HH, Chávez Pastor M, Trubnykova</w:t>
      </w:r>
      <w:r>
        <w:rPr>
          <w:rFonts w:ascii="Calibri" w:hAnsi="Calibri" w:cs="Calibri"/>
          <w:i/>
          <w:iCs/>
          <w:sz w:val="14"/>
          <w:szCs w:val="14"/>
        </w:rPr>
        <w:br/>
        <w:t xml:space="preserve">M, La Serna-Infantes JE, Poterico JA. Factores de riesgo en las enfermedades genéticas. Acta Med Peru. 2018;35(1):43-50 </w:t>
      </w:r>
    </w:p>
    <w:p w14:paraId="26499B34" w14:textId="77777777" w:rsidR="00A851CD" w:rsidRDefault="00A851CD" w:rsidP="00A851CD">
      <w:pPr>
        <w:pStyle w:val="Textocomentario"/>
      </w:pPr>
    </w:p>
  </w:comment>
  <w:comment w:id="3" w:author="Hugo Abarca-Barriga" w:date="2019-06-03T06:44:00Z" w:initials="HA">
    <w:p w14:paraId="70D3D275" w14:textId="77777777" w:rsidR="00A851CD" w:rsidRDefault="00A851CD" w:rsidP="00A851CD">
      <w:pPr>
        <w:pStyle w:val="Textocomentario"/>
      </w:pPr>
      <w:r>
        <w:rPr>
          <w:rStyle w:val="Refdecomentario"/>
        </w:rPr>
        <w:annotationRef/>
      </w:r>
      <w:r>
        <w:t>Referencia:</w:t>
      </w:r>
    </w:p>
    <w:p w14:paraId="093DD808" w14:textId="77777777" w:rsidR="00A851CD" w:rsidRPr="00B97C3C" w:rsidRDefault="00D674DF" w:rsidP="00A851CD">
      <w:pPr>
        <w:pStyle w:val="Textocomentario"/>
      </w:pPr>
      <w:hyperlink r:id="rId1" w:history="1">
        <w:r w:rsidR="00A851CD" w:rsidRPr="00B97C3C">
          <w:rPr>
            <w:rStyle w:val="Hipervnculo"/>
            <w:lang w:val="en-US"/>
          </w:rPr>
          <w:t>Genetics and genomics in Peru: Clinical and research perspective.</w:t>
        </w:r>
      </w:hyperlink>
      <w:r w:rsidR="00A851CD">
        <w:rPr>
          <w:lang w:val="en-US"/>
        </w:rPr>
        <w:t xml:space="preserve"> </w:t>
      </w:r>
      <w:r w:rsidR="00A851CD" w:rsidRPr="00B97C3C">
        <w:t>Guio H, Poterico JA, Levano KS, Cornejo-Olivas M, Mazzetti P, Manassero-Morales G, Ugarte-Gil MF, Acevedo-Vásquez E, Dueñas-Roque M, Piscoya A, Fujita R, Sanchez C, Casavilca-Zambrano S, Jaramillo-Valverde L, Sullcahuaman-Allende Y, Iglesias-Pedraz JM, </w:t>
      </w:r>
      <w:r w:rsidR="00A851CD" w:rsidRPr="00B97C3C">
        <w:rPr>
          <w:b/>
          <w:bCs/>
        </w:rPr>
        <w:t>Abarca-Barriga</w:t>
      </w:r>
      <w:r w:rsidR="00A851CD" w:rsidRPr="00B97C3C">
        <w:t> H.</w:t>
      </w:r>
    </w:p>
    <w:p w14:paraId="24955265" w14:textId="77777777" w:rsidR="00A851CD" w:rsidRPr="00B97C3C" w:rsidRDefault="00A851CD" w:rsidP="00A851CD">
      <w:pPr>
        <w:pStyle w:val="Textocomentario"/>
        <w:rPr>
          <w:lang w:val="en-US"/>
        </w:rPr>
      </w:pPr>
      <w:r w:rsidRPr="00B97C3C">
        <w:rPr>
          <w:lang w:val="en-US"/>
        </w:rPr>
        <w:t>Mol Genet Genomic Med. 2018 Nov;6(6):873-886.</w:t>
      </w:r>
    </w:p>
    <w:p w14:paraId="0F86BBF8" w14:textId="77777777" w:rsidR="00A851CD" w:rsidRPr="00B97C3C" w:rsidRDefault="00A851CD" w:rsidP="00A851CD">
      <w:pPr>
        <w:pStyle w:val="Textocomentario"/>
        <w:rPr>
          <w:lang w:val="en-US"/>
        </w:rPr>
      </w:pPr>
    </w:p>
  </w:comment>
  <w:comment w:id="4" w:author="Hugo Abarca-Barriga" w:date="2019-06-03T06:44:00Z" w:initials="HA">
    <w:p w14:paraId="3EE5D350" w14:textId="77777777" w:rsidR="00A851CD" w:rsidRPr="00194243" w:rsidRDefault="00A851CD" w:rsidP="00A851CD">
      <w:pPr>
        <w:pStyle w:val="Textocomentario"/>
        <w:rPr>
          <w:lang w:val="en-US"/>
        </w:rPr>
      </w:pPr>
      <w:r>
        <w:rPr>
          <w:rStyle w:val="Refdecomentario"/>
        </w:rPr>
        <w:annotationRef/>
      </w:r>
      <w:r w:rsidRPr="00194243">
        <w:rPr>
          <w:lang w:val="en-US"/>
        </w:rPr>
        <w:t>Referencia:</w:t>
      </w:r>
    </w:p>
    <w:p w14:paraId="11E88313" w14:textId="77777777" w:rsidR="00A851CD" w:rsidRPr="00194243" w:rsidRDefault="00A851CD" w:rsidP="00A851CD">
      <w:pPr>
        <w:pStyle w:val="Textocomentario"/>
        <w:rPr>
          <w:lang w:val="en-US"/>
        </w:rPr>
      </w:pPr>
      <w:r w:rsidRPr="00194243">
        <w:rPr>
          <w:lang w:val="en-US"/>
        </w:rPr>
        <w:t>https://www.who.int/features/qa/malnutrition/en/</w:t>
      </w:r>
    </w:p>
  </w:comment>
  <w:comment w:id="5" w:author="Hugo Abarca-Barriga" w:date="2019-06-03T06:46:00Z" w:initials="HA">
    <w:p w14:paraId="1FF92FAB" w14:textId="77777777" w:rsidR="00A65B01" w:rsidRDefault="00A65B01" w:rsidP="00A65B01">
      <w:pPr>
        <w:pStyle w:val="Textocomentario"/>
        <w:rPr>
          <w:lang w:val="en-US"/>
        </w:rPr>
      </w:pPr>
      <w:r>
        <w:rPr>
          <w:rStyle w:val="Refdecomentario"/>
        </w:rPr>
        <w:annotationRef/>
      </w:r>
      <w:r w:rsidRPr="00194243">
        <w:rPr>
          <w:lang w:val="en-US"/>
        </w:rPr>
        <w:t>Referencia:</w:t>
      </w:r>
    </w:p>
    <w:p w14:paraId="35A67CB4" w14:textId="77777777" w:rsidR="00A65B01" w:rsidRPr="00D43763" w:rsidRDefault="00A65B01" w:rsidP="00A65B01">
      <w:pPr>
        <w:pStyle w:val="Textocomentario"/>
        <w:rPr>
          <w:lang w:val="en-US"/>
        </w:rPr>
      </w:pPr>
      <w:r w:rsidRPr="00194243">
        <w:rPr>
          <w:rFonts w:ascii="Arial" w:hAnsi="Arial" w:cs="Arial"/>
          <w:color w:val="000000"/>
          <w:sz w:val="22"/>
          <w:szCs w:val="22"/>
          <w:lang w:val="en-US"/>
        </w:rPr>
        <w:t>Warska A, Maliszewska A, Wnuk A, Szyszka B, Sawicki W, Cendrowski K.</w:t>
      </w:r>
      <w:r>
        <w:rPr>
          <w:rFonts w:ascii="Arial" w:hAnsi="Arial" w:cs="Arial"/>
          <w:color w:val="000000"/>
          <w:sz w:val="22"/>
          <w:szCs w:val="22"/>
          <w:lang w:val="en-US"/>
        </w:rPr>
        <w:t xml:space="preserve"> </w:t>
      </w:r>
      <w:hyperlink r:id="rId2" w:history="1">
        <w:r w:rsidRPr="00194243">
          <w:rPr>
            <w:rStyle w:val="Hipervnculo"/>
            <w:rFonts w:ascii="Arial" w:hAnsi="Arial" w:cs="Arial"/>
            <w:color w:val="642A8F"/>
            <w:sz w:val="27"/>
            <w:szCs w:val="27"/>
            <w:lang w:val="en-US"/>
          </w:rPr>
          <w:t>Current knowledge on the use of ultrasound measurements of</w:t>
        </w:r>
        <w:r w:rsidRPr="00194243">
          <w:rPr>
            <w:rStyle w:val="apple-converted-space"/>
            <w:rFonts w:ascii="Arial" w:hAnsi="Arial" w:cs="Arial"/>
            <w:color w:val="642A8F"/>
            <w:sz w:val="27"/>
            <w:szCs w:val="27"/>
            <w:u w:val="single"/>
            <w:lang w:val="en-US"/>
          </w:rPr>
          <w:t> </w:t>
        </w:r>
        <w:r w:rsidRPr="00194243">
          <w:rPr>
            <w:rStyle w:val="Hipervnculo"/>
            <w:rFonts w:ascii="Arial" w:hAnsi="Arial" w:cs="Arial"/>
            <w:b/>
            <w:bCs/>
            <w:color w:val="642A8F"/>
            <w:sz w:val="27"/>
            <w:szCs w:val="27"/>
            <w:lang w:val="en-US"/>
          </w:rPr>
          <w:t>fetal</w:t>
        </w:r>
        <w:r w:rsidRPr="00194243">
          <w:rPr>
            <w:rStyle w:val="apple-converted-space"/>
            <w:rFonts w:ascii="Arial" w:hAnsi="Arial" w:cs="Arial"/>
            <w:color w:val="642A8F"/>
            <w:sz w:val="27"/>
            <w:szCs w:val="27"/>
            <w:u w:val="single"/>
            <w:lang w:val="en-US"/>
          </w:rPr>
          <w:t> </w:t>
        </w:r>
        <w:r w:rsidRPr="00194243">
          <w:rPr>
            <w:rStyle w:val="Hipervnculo"/>
            <w:rFonts w:ascii="Arial" w:hAnsi="Arial" w:cs="Arial"/>
            <w:color w:val="642A8F"/>
            <w:sz w:val="27"/>
            <w:szCs w:val="27"/>
            <w:lang w:val="en-US"/>
          </w:rPr>
          <w:t>soft tissues for the assessment of</w:t>
        </w:r>
        <w:r w:rsidRPr="00194243">
          <w:rPr>
            <w:rStyle w:val="apple-converted-space"/>
            <w:rFonts w:ascii="Arial" w:hAnsi="Arial" w:cs="Arial"/>
            <w:color w:val="642A8F"/>
            <w:sz w:val="27"/>
            <w:szCs w:val="27"/>
            <w:u w:val="single"/>
            <w:lang w:val="en-US"/>
          </w:rPr>
          <w:t> </w:t>
        </w:r>
        <w:r w:rsidRPr="00194243">
          <w:rPr>
            <w:rStyle w:val="Hipervnculo"/>
            <w:rFonts w:ascii="Arial" w:hAnsi="Arial" w:cs="Arial"/>
            <w:b/>
            <w:bCs/>
            <w:color w:val="642A8F"/>
            <w:sz w:val="27"/>
            <w:szCs w:val="27"/>
            <w:lang w:val="en-US"/>
          </w:rPr>
          <w:t>pregnancy</w:t>
        </w:r>
        <w:r w:rsidRPr="00194243">
          <w:rPr>
            <w:rStyle w:val="apple-converted-space"/>
            <w:rFonts w:ascii="Arial" w:hAnsi="Arial" w:cs="Arial"/>
            <w:color w:val="642A8F"/>
            <w:sz w:val="27"/>
            <w:szCs w:val="27"/>
            <w:u w:val="single"/>
            <w:lang w:val="en-US"/>
          </w:rPr>
          <w:t> </w:t>
        </w:r>
        <w:r w:rsidRPr="00194243">
          <w:rPr>
            <w:rStyle w:val="Hipervnculo"/>
            <w:rFonts w:ascii="Arial" w:hAnsi="Arial" w:cs="Arial"/>
            <w:color w:val="642A8F"/>
            <w:sz w:val="27"/>
            <w:szCs w:val="27"/>
            <w:lang w:val="en-US"/>
          </w:rPr>
          <w:t>development.</w:t>
        </w:r>
      </w:hyperlink>
      <w:r w:rsidRPr="00D43763">
        <w:rPr>
          <w:rFonts w:ascii="Arial" w:hAnsi="Arial" w:cs="Arial"/>
          <w:color w:val="000000"/>
          <w:sz w:val="27"/>
          <w:szCs w:val="27"/>
          <w:lang w:val="en-US"/>
        </w:rPr>
        <w:t xml:space="preserve"> </w:t>
      </w:r>
      <w:r>
        <w:rPr>
          <w:rFonts w:ascii="Arial" w:hAnsi="Arial" w:cs="Arial"/>
          <w:color w:val="000000"/>
          <w:sz w:val="27"/>
          <w:szCs w:val="27"/>
          <w:lang w:val="en-US"/>
        </w:rPr>
        <w:t>.</w:t>
      </w:r>
      <w:r>
        <w:rPr>
          <w:rStyle w:val="jrnl"/>
          <w:rFonts w:ascii="Arial" w:hAnsi="Arial" w:cs="Arial"/>
          <w:color w:val="000000"/>
        </w:rPr>
        <w:t>J Ultrason</w:t>
      </w:r>
      <w:r>
        <w:rPr>
          <w:rFonts w:ascii="Arial" w:hAnsi="Arial" w:cs="Arial"/>
          <w:color w:val="000000"/>
          <w:sz w:val="18"/>
          <w:szCs w:val="18"/>
        </w:rPr>
        <w:t>. 2018 Mar;18(72):50-55.</w:t>
      </w:r>
    </w:p>
  </w:comment>
  <w:comment w:id="6" w:author="Hugo Abarca-Barriga" w:date="2019-06-03T06:47:00Z" w:initials="HA">
    <w:p w14:paraId="4F0AC71A" w14:textId="77777777" w:rsidR="00A65B01" w:rsidRDefault="00A65B01" w:rsidP="00A65B01">
      <w:pPr>
        <w:pStyle w:val="Textocomentario"/>
      </w:pPr>
      <w:r>
        <w:rPr>
          <w:rStyle w:val="Refdecomentario"/>
        </w:rPr>
        <w:annotationRef/>
      </w:r>
      <w:r>
        <w:t xml:space="preserve">Referencia: </w:t>
      </w:r>
    </w:p>
    <w:p w14:paraId="6B8515BF" w14:textId="77777777" w:rsidR="00A65B01" w:rsidRPr="00A93567" w:rsidRDefault="00A65B01" w:rsidP="00A65B01">
      <w:pPr>
        <w:rPr>
          <w:rFonts w:ascii="Times New Roman" w:eastAsia="Times New Roman" w:hAnsi="Times New Roman" w:cs="Times New Roman"/>
          <w:sz w:val="24"/>
          <w:szCs w:val="24"/>
          <w:lang w:val="en-US" w:eastAsia="es-ES_tradnl"/>
        </w:rPr>
      </w:pPr>
      <w:r w:rsidRPr="00A93567">
        <w:rPr>
          <w:lang w:val="en-US"/>
        </w:rPr>
        <w:t xml:space="preserve">Emery &amp; Rimoin. </w:t>
      </w:r>
      <w:r w:rsidRPr="00A93567">
        <w:rPr>
          <w:rFonts w:ascii="Arial" w:eastAsia="Times New Roman" w:hAnsi="Arial" w:cs="Arial"/>
          <w:b/>
          <w:bCs/>
          <w:color w:val="6A6A6A"/>
          <w:sz w:val="21"/>
          <w:szCs w:val="21"/>
          <w:lang w:val="en-US" w:eastAsia="es-ES_tradnl"/>
        </w:rPr>
        <w:t>Principles and Practice of Medical Genetics</w:t>
      </w:r>
      <w:r w:rsidRPr="00A93567">
        <w:rPr>
          <w:rFonts w:ascii="Arial" w:eastAsia="Times New Roman" w:hAnsi="Arial" w:cs="Arial"/>
          <w:color w:val="545454"/>
          <w:sz w:val="21"/>
          <w:szCs w:val="21"/>
          <w:shd w:val="clear" w:color="auto" w:fill="FFFFFF"/>
          <w:lang w:val="en-US" w:eastAsia="es-ES_tradnl"/>
        </w:rPr>
        <w:t> and Genomics</w:t>
      </w:r>
      <w:r>
        <w:rPr>
          <w:rFonts w:ascii="Arial" w:eastAsia="Times New Roman" w:hAnsi="Arial" w:cs="Arial"/>
          <w:color w:val="545454"/>
          <w:sz w:val="21"/>
          <w:szCs w:val="21"/>
          <w:shd w:val="clear" w:color="auto" w:fill="FFFFFF"/>
          <w:lang w:val="en-US" w:eastAsia="es-ES_tradnl"/>
        </w:rPr>
        <w:t>. 6</w:t>
      </w:r>
      <w:r w:rsidRPr="00A93567">
        <w:rPr>
          <w:rFonts w:ascii="Arial" w:eastAsia="Times New Roman" w:hAnsi="Arial" w:cs="Arial"/>
          <w:color w:val="545454"/>
          <w:sz w:val="21"/>
          <w:szCs w:val="21"/>
          <w:shd w:val="clear" w:color="auto" w:fill="FFFFFF"/>
          <w:vertAlign w:val="superscript"/>
          <w:lang w:val="en-US" w:eastAsia="es-ES_tradnl"/>
        </w:rPr>
        <w:t>th</w:t>
      </w:r>
      <w:r>
        <w:rPr>
          <w:rFonts w:ascii="Arial" w:eastAsia="Times New Roman" w:hAnsi="Arial" w:cs="Arial"/>
          <w:color w:val="545454"/>
          <w:sz w:val="21"/>
          <w:szCs w:val="21"/>
          <w:shd w:val="clear" w:color="auto" w:fill="FFFFFF"/>
          <w:lang w:val="en-US" w:eastAsia="es-ES_tradnl"/>
        </w:rPr>
        <w:t>. Elsevier.</w:t>
      </w:r>
    </w:p>
    <w:p w14:paraId="6BA03067" w14:textId="77777777" w:rsidR="00A65B01" w:rsidRPr="00A93567" w:rsidRDefault="00A65B01" w:rsidP="00A65B01">
      <w:pPr>
        <w:pStyle w:val="Textocomentario"/>
        <w:rPr>
          <w:lang w:val="en-US"/>
        </w:rPr>
      </w:pPr>
    </w:p>
  </w:comment>
  <w:comment w:id="7" w:author="Hugo Abarca-Barriga" w:date="2019-06-03T06:49:00Z" w:initials="HA">
    <w:p w14:paraId="7B6DCE89" w14:textId="77777777" w:rsidR="0038086F" w:rsidRPr="00626C48" w:rsidRDefault="0038086F" w:rsidP="0038086F">
      <w:pPr>
        <w:pStyle w:val="Textocomentario"/>
        <w:rPr>
          <w:lang w:val="en-US"/>
        </w:rPr>
      </w:pPr>
      <w:r>
        <w:rPr>
          <w:rStyle w:val="Refdecomentario"/>
        </w:rPr>
        <w:annotationRef/>
      </w:r>
      <w:r w:rsidRPr="00626C48">
        <w:rPr>
          <w:lang w:val="en-US"/>
        </w:rPr>
        <w:t>Referencia:</w:t>
      </w:r>
    </w:p>
    <w:p w14:paraId="3E9945FF" w14:textId="77777777" w:rsidR="0038086F" w:rsidRPr="008E52EE" w:rsidRDefault="0038086F" w:rsidP="0038086F">
      <w:pPr>
        <w:pStyle w:val="Textocomentario"/>
        <w:rPr>
          <w:lang w:val="en-US"/>
        </w:rPr>
      </w:pPr>
      <w:r w:rsidRPr="008E52EE">
        <w:rPr>
          <w:lang w:val="en-US"/>
        </w:rPr>
        <w:t>Nikkel SM</w:t>
      </w:r>
      <w:r>
        <w:rPr>
          <w:lang w:val="en-US"/>
        </w:rPr>
        <w:t xml:space="preserve">. </w:t>
      </w:r>
      <w:r w:rsidRPr="008E52EE">
        <w:rPr>
          <w:lang w:val="en-US"/>
        </w:rPr>
        <w:t>Skeletal Dysplasias: What Every Bone Health Clinician Needs to Know.</w:t>
      </w:r>
      <w:r>
        <w:rPr>
          <w:lang w:val="en-US"/>
        </w:rPr>
        <w:t xml:space="preserve"> </w:t>
      </w:r>
      <w:r w:rsidRPr="008E52EE">
        <w:rPr>
          <w:lang w:val="en-US"/>
        </w:rPr>
        <w:t>Curr Osteoporos Rep. 2017 Oct;15(5):419-424</w:t>
      </w:r>
      <w:r>
        <w:rPr>
          <w:lang w:val="en-US"/>
        </w:rPr>
        <w:t>.</w:t>
      </w:r>
    </w:p>
  </w:comment>
  <w:comment w:id="8" w:author="Hugo Abarca-Barriga" w:date="2019-06-03T06:49:00Z" w:initials="HA">
    <w:p w14:paraId="191F1497" w14:textId="77777777" w:rsidR="0038086F" w:rsidRPr="00500E7C" w:rsidRDefault="0038086F" w:rsidP="0038086F">
      <w:pPr>
        <w:pStyle w:val="Textocomentario"/>
        <w:rPr>
          <w:lang w:val="en-US"/>
        </w:rPr>
      </w:pPr>
      <w:r>
        <w:rPr>
          <w:rStyle w:val="Refdecomentario"/>
        </w:rPr>
        <w:annotationRef/>
      </w:r>
      <w:r w:rsidRPr="00500E7C">
        <w:rPr>
          <w:lang w:val="en-US"/>
        </w:rPr>
        <w:t>Referencia:</w:t>
      </w:r>
    </w:p>
    <w:p w14:paraId="5865AD3C" w14:textId="77777777" w:rsidR="0038086F" w:rsidRDefault="0038086F" w:rsidP="0038086F">
      <w:pPr>
        <w:pStyle w:val="Textocomentario"/>
      </w:pPr>
      <w:r w:rsidRPr="008E52EE">
        <w:rPr>
          <w:lang w:val="en-US"/>
        </w:rPr>
        <w:t>Nikkel SM</w:t>
      </w:r>
      <w:r>
        <w:rPr>
          <w:lang w:val="en-US"/>
        </w:rPr>
        <w:t xml:space="preserve">. </w:t>
      </w:r>
      <w:r w:rsidRPr="008E52EE">
        <w:rPr>
          <w:lang w:val="en-US"/>
        </w:rPr>
        <w:t>Skeletal Dysplasias: What Every Bone Health Clinician Needs to Know.</w:t>
      </w:r>
      <w:r>
        <w:rPr>
          <w:lang w:val="en-US"/>
        </w:rPr>
        <w:t xml:space="preserve"> </w:t>
      </w:r>
      <w:r w:rsidRPr="008E52EE">
        <w:rPr>
          <w:lang w:val="en-US"/>
        </w:rPr>
        <w:t>Curr Osteoporos Rep. 2017 Oct;15(5):419-424</w:t>
      </w:r>
      <w:r>
        <w:rPr>
          <w:lang w:val="en-US"/>
        </w:rPr>
        <w:t>.</w:t>
      </w:r>
    </w:p>
  </w:comment>
  <w:comment w:id="9" w:author="Hugo Abarca-Barriga" w:date="2019-06-03T06:49:00Z" w:initials="HA">
    <w:p w14:paraId="4FB3C278" w14:textId="77777777" w:rsidR="0038086F" w:rsidRDefault="0038086F" w:rsidP="0038086F">
      <w:pPr>
        <w:pStyle w:val="Textocomentario"/>
      </w:pPr>
      <w:r>
        <w:rPr>
          <w:rStyle w:val="Refdecomentario"/>
        </w:rPr>
        <w:annotationRef/>
      </w:r>
    </w:p>
  </w:comment>
  <w:comment w:id="10" w:author="Hugo Abarca-Barriga" w:date="2019-06-03T06:49:00Z" w:initials="HA">
    <w:p w14:paraId="3E38501C" w14:textId="77777777" w:rsidR="0038086F" w:rsidRDefault="0038086F" w:rsidP="0038086F">
      <w:pPr>
        <w:pStyle w:val="Textocomentario"/>
      </w:pPr>
      <w:r>
        <w:rPr>
          <w:rStyle w:val="Refdecomentario"/>
        </w:rPr>
        <w:annotationRef/>
      </w:r>
      <w:r>
        <w:t>Referencia:</w:t>
      </w:r>
    </w:p>
    <w:p w14:paraId="116605D6" w14:textId="77777777" w:rsidR="0038086F" w:rsidRDefault="0038086F" w:rsidP="0038086F">
      <w:pPr>
        <w:pStyle w:val="Textocomentario"/>
        <w:rPr>
          <w:lang w:val="en-US"/>
        </w:rPr>
      </w:pPr>
      <w:r w:rsidRPr="008E52EE">
        <w:rPr>
          <w:lang w:val="en-US"/>
        </w:rPr>
        <w:t>Nikkel SM</w:t>
      </w:r>
      <w:r>
        <w:rPr>
          <w:lang w:val="en-US"/>
        </w:rPr>
        <w:t xml:space="preserve">. </w:t>
      </w:r>
      <w:r w:rsidRPr="008E52EE">
        <w:rPr>
          <w:lang w:val="en-US"/>
        </w:rPr>
        <w:t>Skeletal Dysplasias: What Every Bone Health Clinician Needs to Know.</w:t>
      </w:r>
      <w:r>
        <w:rPr>
          <w:lang w:val="en-US"/>
        </w:rPr>
        <w:t xml:space="preserve"> </w:t>
      </w:r>
      <w:r w:rsidRPr="008E52EE">
        <w:rPr>
          <w:lang w:val="en-US"/>
        </w:rPr>
        <w:t>Curr Osteoporos Rep. 2017 Oct;15(5):419-424</w:t>
      </w:r>
      <w:r>
        <w:rPr>
          <w:lang w:val="en-US"/>
        </w:rPr>
        <w:t>.</w:t>
      </w:r>
    </w:p>
    <w:p w14:paraId="11FA970C" w14:textId="77777777" w:rsidR="0038086F" w:rsidRDefault="0038086F" w:rsidP="0038086F">
      <w:pPr>
        <w:pStyle w:val="Textocomentario"/>
        <w:rPr>
          <w:lang w:val="en-US"/>
        </w:rPr>
      </w:pPr>
    </w:p>
    <w:p w14:paraId="55815298" w14:textId="77777777" w:rsidR="0038086F" w:rsidRPr="003012BB" w:rsidRDefault="0038086F" w:rsidP="0038086F">
      <w:pPr>
        <w:pStyle w:val="Textocomentario"/>
        <w:rPr>
          <w:lang w:val="en-US"/>
        </w:rPr>
      </w:pPr>
      <w:r w:rsidRPr="003012BB">
        <w:rPr>
          <w:lang w:val="en-US"/>
        </w:rPr>
        <w:t>Scarpa M.</w:t>
      </w:r>
      <w:r>
        <w:rPr>
          <w:lang w:val="en-US"/>
        </w:rPr>
        <w:t xml:space="preserve"> </w:t>
      </w:r>
      <w:r w:rsidRPr="003012BB">
        <w:rPr>
          <w:lang w:val="en-US"/>
        </w:rPr>
        <w:t>Mucopolysaccharidosis Type II.</w:t>
      </w:r>
    </w:p>
    <w:p w14:paraId="5D4A63A3" w14:textId="77777777" w:rsidR="0038086F" w:rsidRPr="003012BB" w:rsidRDefault="0038086F" w:rsidP="0038086F">
      <w:pPr>
        <w:pStyle w:val="Textocomentario"/>
        <w:rPr>
          <w:lang w:val="en-US"/>
        </w:rPr>
      </w:pPr>
      <w:r w:rsidRPr="003012BB">
        <w:rPr>
          <w:lang w:val="en-US"/>
        </w:rPr>
        <w:t>In: Adam MP, Ardinger HH, Pagon RA, Wallace SE, Bean LJH, Stephens K, Amemiya A, editors. GeneReviews® [Internet]. Seattle (WA): University of Washington, Seattle; 1993-2019.</w:t>
      </w:r>
    </w:p>
    <w:p w14:paraId="09DD5CEE" w14:textId="77777777" w:rsidR="0038086F" w:rsidRDefault="0038086F" w:rsidP="0038086F">
      <w:pPr>
        <w:pStyle w:val="Textocomentario"/>
        <w:rPr>
          <w:lang w:val="en-US"/>
        </w:rPr>
      </w:pPr>
      <w:r w:rsidRPr="003012BB">
        <w:rPr>
          <w:lang w:val="en-US"/>
        </w:rPr>
        <w:t>2007 Nov 6 [updated 2018 Oct 4].</w:t>
      </w:r>
    </w:p>
    <w:p w14:paraId="0C42BB7B" w14:textId="77777777" w:rsidR="0038086F" w:rsidRDefault="0038086F" w:rsidP="0038086F">
      <w:pPr>
        <w:pStyle w:val="Textocomentario"/>
        <w:rPr>
          <w:lang w:val="en-US"/>
        </w:rPr>
      </w:pPr>
    </w:p>
    <w:p w14:paraId="771F06D1" w14:textId="77777777" w:rsidR="0038086F" w:rsidRDefault="0038086F" w:rsidP="0038086F">
      <w:pPr>
        <w:pStyle w:val="Textocomentario"/>
        <w:rPr>
          <w:lang w:val="en-US"/>
        </w:rPr>
      </w:pPr>
      <w:r w:rsidRPr="003012BB">
        <w:rPr>
          <w:lang w:val="en-US"/>
        </w:rPr>
        <w:t>Eisengart JB1, Jarnes J2, Ahmed A1, Nestrasil I1, Ziegler R1, Delaney K3, Shapiro E1,4, Whitley C1,2.</w:t>
      </w:r>
      <w:r>
        <w:rPr>
          <w:lang w:val="en-US"/>
        </w:rPr>
        <w:t xml:space="preserve"> </w:t>
      </w:r>
      <w:r w:rsidRPr="003012BB">
        <w:rPr>
          <w:lang w:val="en-US"/>
        </w:rPr>
        <w:t>Long-term cognitive and somatic outcomes of enzyme replacement therapy in untransplanted Hurler syndrome.</w:t>
      </w:r>
      <w:r>
        <w:rPr>
          <w:lang w:val="en-US"/>
        </w:rPr>
        <w:t xml:space="preserve"> </w:t>
      </w:r>
      <w:r w:rsidRPr="003012BB">
        <w:rPr>
          <w:lang w:val="en-US"/>
        </w:rPr>
        <w:t>Mol Genet Metab Rep. 2017 Sep 27;13:64-68.</w:t>
      </w:r>
    </w:p>
    <w:p w14:paraId="7C557569" w14:textId="77777777" w:rsidR="0038086F" w:rsidRPr="003012BB" w:rsidRDefault="0038086F" w:rsidP="0038086F">
      <w:pPr>
        <w:pStyle w:val="Textocomentario"/>
        <w:rPr>
          <w:lang w:val="en-US"/>
        </w:rPr>
      </w:pPr>
    </w:p>
    <w:p w14:paraId="75863627" w14:textId="77777777" w:rsidR="0038086F" w:rsidRDefault="0038086F" w:rsidP="0038086F">
      <w:pPr>
        <w:pStyle w:val="Textocomentario"/>
        <w:rPr>
          <w:rFonts w:ascii="Arial" w:eastAsia="Times New Roman" w:hAnsi="Arial" w:cs="Arial"/>
          <w:noProof/>
          <w:color w:val="000000"/>
          <w:sz w:val="18"/>
          <w:szCs w:val="18"/>
          <w:shd w:val="clear" w:color="auto" w:fill="FFFFFF"/>
          <w:lang w:val="en-US" w:eastAsia="es-ES_tradnl"/>
        </w:rPr>
      </w:pPr>
      <w:r w:rsidRPr="003012BB">
        <w:rPr>
          <w:lang w:val="en-US"/>
        </w:rPr>
        <w:t>Doherty C, Stapleton M, Piechnik M, Mason RW, Mackenzie WG, Yamaguchi S, Kobayashi H, Suzuki Y, Tomatsu S.</w:t>
      </w:r>
      <w:r>
        <w:rPr>
          <w:lang w:val="en-US"/>
        </w:rPr>
        <w:t xml:space="preserve"> </w:t>
      </w:r>
      <w:r w:rsidRPr="003012BB">
        <w:rPr>
          <w:lang w:val="en-US"/>
        </w:rPr>
        <w:t>Effect of enzyme replacement therapy on the growth of patients with Morquio A.</w:t>
      </w:r>
      <w:r>
        <w:rPr>
          <w:lang w:val="en-US"/>
        </w:rPr>
        <w:t xml:space="preserve"> </w:t>
      </w:r>
      <w:r w:rsidRPr="003012BB">
        <w:rPr>
          <w:lang w:val="en-US"/>
        </w:rPr>
        <w:t>J Hum Genet. 2019</w:t>
      </w:r>
      <w:r>
        <w:rPr>
          <w:lang w:val="en-US"/>
        </w:rPr>
        <w:t xml:space="preserve">. </w:t>
      </w:r>
      <w:r w:rsidRPr="003012BB">
        <w:rPr>
          <w:rFonts w:ascii="Arial" w:eastAsia="Times New Roman" w:hAnsi="Arial" w:cs="Arial"/>
          <w:color w:val="000000"/>
          <w:sz w:val="18"/>
          <w:szCs w:val="18"/>
          <w:shd w:val="clear" w:color="auto" w:fill="FFFFFF"/>
          <w:lang w:val="en-US" w:eastAsia="es-ES_tradnl"/>
        </w:rPr>
        <w:t>Apr 24. </w:t>
      </w:r>
    </w:p>
    <w:p w14:paraId="38D85D7F" w14:textId="77777777" w:rsidR="0038086F" w:rsidRPr="0038086F" w:rsidRDefault="0038086F" w:rsidP="0038086F">
      <w:pPr>
        <w:spacing w:after="0" w:line="240" w:lineRule="auto"/>
        <w:rPr>
          <w:rFonts w:ascii="Times New Roman" w:eastAsia="Times New Roman" w:hAnsi="Times New Roman" w:cs="Times New Roman"/>
          <w:sz w:val="24"/>
          <w:szCs w:val="24"/>
          <w:lang w:val="en-US" w:eastAsia="es-ES_tradnl"/>
        </w:rPr>
      </w:pPr>
      <w:r w:rsidRPr="009C4901">
        <w:rPr>
          <w:rFonts w:ascii="Source Sans Pro" w:eastAsia="Times New Roman" w:hAnsi="Source Sans Pro" w:cs="Times New Roman"/>
          <w:color w:val="000000"/>
          <w:sz w:val="24"/>
          <w:szCs w:val="24"/>
          <w:shd w:val="clear" w:color="auto" w:fill="F0EFEF"/>
          <w:lang w:eastAsia="es-ES_tradnl"/>
        </w:rPr>
        <w:t xml:space="preserve">da Silva  EMK, Strufaldi  MWL, Andriolo  RB, Silva  LA. </w:t>
      </w:r>
      <w:r w:rsidRPr="009C4901">
        <w:rPr>
          <w:rFonts w:ascii="Source Sans Pro" w:eastAsia="Times New Roman" w:hAnsi="Source Sans Pro" w:cs="Times New Roman"/>
          <w:color w:val="000000"/>
          <w:sz w:val="24"/>
          <w:szCs w:val="24"/>
          <w:shd w:val="clear" w:color="auto" w:fill="F0EFEF"/>
          <w:lang w:val="en-US" w:eastAsia="es-ES_tradnl"/>
        </w:rPr>
        <w:t xml:space="preserve">Enzyme replacement therapy with idursulfase for mucopolysaccharidosis type II (Hunter syndrome). </w:t>
      </w:r>
      <w:r w:rsidRPr="0038086F">
        <w:rPr>
          <w:rFonts w:ascii="Source Sans Pro" w:eastAsia="Times New Roman" w:hAnsi="Source Sans Pro" w:cs="Times New Roman"/>
          <w:color w:val="000000"/>
          <w:sz w:val="24"/>
          <w:szCs w:val="24"/>
          <w:shd w:val="clear" w:color="auto" w:fill="F0EFEF"/>
          <w:lang w:val="en-US" w:eastAsia="es-ES_tradnl"/>
        </w:rPr>
        <w:t>Cochrane Database of Systematic Reviews 2016, Issue 2. Art. No.: CD008185.</w:t>
      </w:r>
    </w:p>
    <w:p w14:paraId="5F879731" w14:textId="77777777" w:rsidR="0038086F" w:rsidRDefault="0038086F" w:rsidP="0038086F">
      <w:pPr>
        <w:pStyle w:val="Textocomentario"/>
        <w:rPr>
          <w:noProof/>
          <w:lang w:val="en-US"/>
        </w:rPr>
      </w:pPr>
    </w:p>
    <w:p w14:paraId="6FC02CA2" w14:textId="77777777" w:rsidR="0038086F" w:rsidRPr="00614589" w:rsidRDefault="0038086F" w:rsidP="0038086F">
      <w:pPr>
        <w:spacing w:after="0" w:line="240" w:lineRule="auto"/>
        <w:rPr>
          <w:rFonts w:ascii="Times New Roman" w:eastAsia="Times New Roman" w:hAnsi="Times New Roman" w:cs="Times New Roman"/>
          <w:sz w:val="24"/>
          <w:szCs w:val="24"/>
          <w:lang w:eastAsia="es-ES_tradnl"/>
        </w:rPr>
      </w:pPr>
      <w:r w:rsidRPr="00614589">
        <w:rPr>
          <w:rFonts w:ascii="Source Sans Pro" w:eastAsia="Times New Roman" w:hAnsi="Source Sans Pro" w:cs="Times New Roman"/>
          <w:color w:val="000000"/>
          <w:sz w:val="24"/>
          <w:szCs w:val="24"/>
          <w:shd w:val="clear" w:color="auto" w:fill="F0EFEF"/>
          <w:lang w:val="en-US" w:eastAsia="es-ES_tradnl"/>
        </w:rPr>
        <w:t xml:space="preserve">Shemesh  E, Deroma  L, Hendriksz  CJ, Hollak  C, Krishan  A. Enzyme replacement therapy for mucopolysaccharidosis type IV (Morquio syndrome). </w:t>
      </w:r>
      <w:r w:rsidRPr="00614589">
        <w:rPr>
          <w:rFonts w:ascii="Source Sans Pro" w:eastAsia="Times New Roman" w:hAnsi="Source Sans Pro" w:cs="Times New Roman"/>
          <w:color w:val="000000"/>
          <w:sz w:val="24"/>
          <w:szCs w:val="24"/>
          <w:shd w:val="clear" w:color="auto" w:fill="F0EFEF"/>
          <w:lang w:eastAsia="es-ES_tradnl"/>
        </w:rPr>
        <w:t>Cochrane Database of Systematic Reviews 2018, Issue 3. Art. No.: CD012961</w:t>
      </w:r>
    </w:p>
    <w:p w14:paraId="3A7D2A07" w14:textId="77777777" w:rsidR="0038086F" w:rsidRDefault="0038086F" w:rsidP="0038086F">
      <w:pPr>
        <w:pStyle w:val="Textocomentario"/>
        <w:rPr>
          <w:noProof/>
          <w:lang w:val="en-US"/>
        </w:rPr>
      </w:pPr>
    </w:p>
    <w:p w14:paraId="6EC22D06" w14:textId="77777777" w:rsidR="0038086F" w:rsidRPr="00614589" w:rsidRDefault="0038086F" w:rsidP="0038086F">
      <w:pPr>
        <w:spacing w:after="0" w:line="240" w:lineRule="auto"/>
        <w:rPr>
          <w:rFonts w:ascii="Times New Roman" w:eastAsia="Times New Roman" w:hAnsi="Times New Roman" w:cs="Times New Roman"/>
          <w:sz w:val="24"/>
          <w:szCs w:val="24"/>
          <w:lang w:eastAsia="es-ES_tradnl"/>
        </w:rPr>
      </w:pPr>
      <w:r w:rsidRPr="00614589">
        <w:rPr>
          <w:rFonts w:ascii="Source Sans Pro" w:eastAsia="Times New Roman" w:hAnsi="Source Sans Pro" w:cs="Times New Roman"/>
          <w:color w:val="000000"/>
          <w:sz w:val="24"/>
          <w:szCs w:val="24"/>
          <w:shd w:val="clear" w:color="auto" w:fill="F0EFEF"/>
          <w:lang w:eastAsia="es-ES_tradnl"/>
        </w:rPr>
        <w:t xml:space="preserve">Brunelli  MJ, Atallah  ÁN, da Silva  EMK. </w:t>
      </w:r>
      <w:r w:rsidRPr="00614589">
        <w:rPr>
          <w:rFonts w:ascii="Source Sans Pro" w:eastAsia="Times New Roman" w:hAnsi="Source Sans Pro" w:cs="Times New Roman"/>
          <w:color w:val="000000"/>
          <w:sz w:val="24"/>
          <w:szCs w:val="24"/>
          <w:shd w:val="clear" w:color="auto" w:fill="F0EFEF"/>
          <w:lang w:val="en-US" w:eastAsia="es-ES_tradnl"/>
        </w:rPr>
        <w:t xml:space="preserve">Enzyme replacement therapy with galsulfase for mucopolysaccharidosis type VI. </w:t>
      </w:r>
      <w:r w:rsidRPr="00614589">
        <w:rPr>
          <w:rFonts w:ascii="Source Sans Pro" w:eastAsia="Times New Roman" w:hAnsi="Source Sans Pro" w:cs="Times New Roman"/>
          <w:color w:val="000000"/>
          <w:sz w:val="24"/>
          <w:szCs w:val="24"/>
          <w:shd w:val="clear" w:color="auto" w:fill="F0EFEF"/>
          <w:lang w:eastAsia="es-ES_tradnl"/>
        </w:rPr>
        <w:t>Cochrane Database of Systematic Reviews 2016, Issue 3. Art. No.: CD009806. </w:t>
      </w:r>
    </w:p>
    <w:p w14:paraId="2A464142" w14:textId="77777777" w:rsidR="0038086F" w:rsidRPr="003012BB" w:rsidRDefault="0038086F" w:rsidP="0038086F">
      <w:pPr>
        <w:pStyle w:val="Textocomentario"/>
        <w:rPr>
          <w:lang w:val="en-US"/>
        </w:rPr>
      </w:pPr>
    </w:p>
    <w:p w14:paraId="6442410A" w14:textId="77777777" w:rsidR="0038086F" w:rsidRPr="003012BB" w:rsidRDefault="0038086F" w:rsidP="0038086F">
      <w:pPr>
        <w:pStyle w:val="Textocomentario"/>
        <w:rPr>
          <w:lang w:val="en-US"/>
        </w:rPr>
      </w:pPr>
    </w:p>
    <w:p w14:paraId="5CC60216" w14:textId="77777777" w:rsidR="0038086F" w:rsidRPr="003012BB" w:rsidRDefault="0038086F" w:rsidP="0038086F">
      <w:pPr>
        <w:pStyle w:val="Textocomentario"/>
        <w:rPr>
          <w:lang w:val="en-US"/>
        </w:rPr>
      </w:pPr>
    </w:p>
    <w:p w14:paraId="334ADD96" w14:textId="77777777" w:rsidR="0038086F" w:rsidRPr="003012BB" w:rsidRDefault="0038086F" w:rsidP="0038086F">
      <w:pPr>
        <w:pStyle w:val="Textocomentario"/>
        <w:rPr>
          <w:lang w:val="en-US"/>
        </w:rPr>
      </w:pPr>
    </w:p>
    <w:p w14:paraId="5A2383EE" w14:textId="77777777" w:rsidR="0038086F" w:rsidRPr="003012BB" w:rsidRDefault="0038086F" w:rsidP="0038086F">
      <w:pPr>
        <w:pStyle w:val="Textocomentario"/>
        <w:rPr>
          <w:lang w:val="en-US"/>
        </w:rPr>
      </w:pPr>
    </w:p>
  </w:comment>
  <w:comment w:id="11" w:author="Hugo Abarca-Barriga" w:date="2019-06-03T06:49:00Z" w:initials="HA">
    <w:p w14:paraId="1F892365" w14:textId="77777777" w:rsidR="0038086F" w:rsidRDefault="0038086F" w:rsidP="0038086F">
      <w:pPr>
        <w:pStyle w:val="Textocomentario"/>
      </w:pPr>
      <w:r>
        <w:rPr>
          <w:rStyle w:val="Refdecomentario"/>
        </w:rPr>
        <w:annotationRef/>
      </w:r>
      <w:r>
        <w:t xml:space="preserve">Referencia: </w:t>
      </w:r>
    </w:p>
    <w:p w14:paraId="6B1F9CAD" w14:textId="77777777" w:rsidR="0038086F" w:rsidRPr="005C1094" w:rsidRDefault="0038086F" w:rsidP="0038086F">
      <w:pPr>
        <w:pStyle w:val="Textocomentario"/>
        <w:rPr>
          <w:lang w:val="en-US"/>
        </w:rPr>
      </w:pPr>
      <w:r w:rsidRPr="005C1094">
        <w:rPr>
          <w:lang w:val="en-US"/>
        </w:rPr>
        <w:t>Chilbule SK1, Dutt V, Madhuri V. Limb lengthening in achondroplasia.</w:t>
      </w:r>
      <w:r>
        <w:rPr>
          <w:lang w:val="en-US"/>
        </w:rPr>
        <w:t xml:space="preserve"> </w:t>
      </w:r>
      <w:r w:rsidRPr="005C1094">
        <w:rPr>
          <w:lang w:val="en-US"/>
        </w:rPr>
        <w:t xml:space="preserve">Indian J Orthop. 2016 Jul-Aug;50(4):397-405. </w:t>
      </w:r>
    </w:p>
    <w:p w14:paraId="36CA8186" w14:textId="77777777" w:rsidR="0038086F" w:rsidRPr="005B4ACA" w:rsidRDefault="0038086F" w:rsidP="0038086F">
      <w:pPr>
        <w:pStyle w:val="Textocomentario"/>
        <w:rPr>
          <w:lang w:val="en-US"/>
        </w:rPr>
      </w:pPr>
    </w:p>
    <w:p w14:paraId="11D7C215" w14:textId="77777777" w:rsidR="0038086F" w:rsidRDefault="0038086F" w:rsidP="0038086F">
      <w:pPr>
        <w:pStyle w:val="Textocomentario"/>
        <w:rPr>
          <w:lang w:val="en-US"/>
        </w:rPr>
      </w:pPr>
      <w:r w:rsidRPr="005B4ACA">
        <w:rPr>
          <w:lang w:val="en-US"/>
        </w:rPr>
        <w:t>Kocaoğlu M, Bilen FE, Dikmen G, Balci HI, Eralp L.</w:t>
      </w:r>
      <w:r>
        <w:rPr>
          <w:lang w:val="en-US"/>
        </w:rPr>
        <w:t xml:space="preserve"> </w:t>
      </w:r>
      <w:r w:rsidRPr="005B4ACA">
        <w:rPr>
          <w:lang w:val="en-US"/>
        </w:rPr>
        <w:t>Simultaneous bilateral lengthening of femora and tibiae in achondroplastic patients.</w:t>
      </w:r>
      <w:r>
        <w:rPr>
          <w:lang w:val="en-US"/>
        </w:rPr>
        <w:t xml:space="preserve"> </w:t>
      </w:r>
      <w:r w:rsidRPr="005B4ACA">
        <w:rPr>
          <w:lang w:val="en-US"/>
        </w:rPr>
        <w:t>Acta Orthop Traumatol Turc. 2014;48(2):157-63.</w:t>
      </w:r>
    </w:p>
    <w:p w14:paraId="1D3D4F49" w14:textId="77777777" w:rsidR="0038086F" w:rsidRPr="005B4ACA" w:rsidRDefault="0038086F" w:rsidP="0038086F">
      <w:pPr>
        <w:pStyle w:val="Textocomentario"/>
        <w:rPr>
          <w:lang w:val="en-US"/>
        </w:rPr>
      </w:pPr>
    </w:p>
    <w:p w14:paraId="54176B13" w14:textId="77777777" w:rsidR="0038086F" w:rsidRPr="005B4ACA" w:rsidRDefault="0038086F" w:rsidP="0038086F">
      <w:pPr>
        <w:pStyle w:val="Textocomentario"/>
        <w:rPr>
          <w:lang w:val="en-US"/>
        </w:rPr>
      </w:pPr>
      <w:r w:rsidRPr="005B4ACA">
        <w:rPr>
          <w:lang w:val="en-US"/>
        </w:rPr>
        <w:t>Koczewski P, Shadi M.</w:t>
      </w:r>
      <w:r>
        <w:rPr>
          <w:lang w:val="en-US"/>
        </w:rPr>
        <w:t>.</w:t>
      </w:r>
      <w:r w:rsidRPr="005B4ACA">
        <w:rPr>
          <w:lang w:val="en-US"/>
        </w:rPr>
        <w:t>Surgical treatment of short stature of different etiology by the Ilizarov method].</w:t>
      </w:r>
      <w:r>
        <w:rPr>
          <w:lang w:val="en-US"/>
        </w:rPr>
        <w:t xml:space="preserve"> </w:t>
      </w:r>
      <w:r w:rsidRPr="005B4ACA">
        <w:rPr>
          <w:lang w:val="en-US"/>
        </w:rPr>
        <w:t>Pediatr Endocrinol Diabetes Metab. 2007;13(3):143-6.</w:t>
      </w:r>
    </w:p>
    <w:p w14:paraId="2173A3A7" w14:textId="77777777" w:rsidR="0038086F" w:rsidRPr="005C1094" w:rsidRDefault="0038086F" w:rsidP="0038086F">
      <w:pPr>
        <w:pStyle w:val="Textocomentario"/>
        <w:rPr>
          <w:lang w:val="en-US"/>
        </w:rPr>
      </w:pPr>
    </w:p>
    <w:p w14:paraId="6C59F8C9" w14:textId="77777777" w:rsidR="0038086F" w:rsidRPr="009C4901" w:rsidRDefault="0038086F" w:rsidP="0038086F">
      <w:pPr>
        <w:spacing w:after="0" w:line="240" w:lineRule="auto"/>
        <w:rPr>
          <w:rFonts w:ascii="Times New Roman" w:eastAsia="Times New Roman" w:hAnsi="Times New Roman" w:cs="Times New Roman"/>
          <w:sz w:val="24"/>
          <w:szCs w:val="24"/>
          <w:lang w:eastAsia="es-ES_tradnl"/>
        </w:rPr>
      </w:pPr>
      <w:r w:rsidRPr="009C4901">
        <w:rPr>
          <w:rFonts w:ascii="Source Sans Pro" w:eastAsia="Times New Roman" w:hAnsi="Source Sans Pro" w:cs="Times New Roman"/>
          <w:color w:val="000000"/>
          <w:sz w:val="24"/>
          <w:szCs w:val="24"/>
          <w:shd w:val="clear" w:color="auto" w:fill="F0EFEF"/>
          <w:lang w:val="en-US" w:eastAsia="es-ES_tradnl"/>
        </w:rPr>
        <w:t>Jameson  E, Jones  S, Remmington  T. Enzyme replacement therapy with laronidase (Aldurazyme</w:t>
      </w:r>
      <w:r w:rsidRPr="009C4901">
        <w:rPr>
          <w:rFonts w:ascii="Source Sans Pro" w:eastAsia="Times New Roman" w:hAnsi="Source Sans Pro" w:cs="Times New Roman"/>
          <w:color w:val="000000"/>
          <w:sz w:val="18"/>
          <w:szCs w:val="18"/>
          <w:shd w:val="clear" w:color="auto" w:fill="F0EFEF"/>
          <w:vertAlign w:val="superscript"/>
          <w:lang w:val="en-US" w:eastAsia="es-ES_tradnl"/>
        </w:rPr>
        <w:t>®</w:t>
      </w:r>
      <w:r w:rsidRPr="009C4901">
        <w:rPr>
          <w:rFonts w:ascii="Source Sans Pro" w:eastAsia="Times New Roman" w:hAnsi="Source Sans Pro" w:cs="Times New Roman"/>
          <w:color w:val="000000"/>
          <w:sz w:val="24"/>
          <w:szCs w:val="24"/>
          <w:shd w:val="clear" w:color="auto" w:fill="F0EFEF"/>
          <w:lang w:val="en-US" w:eastAsia="es-ES_tradnl"/>
        </w:rPr>
        <w:t xml:space="preserve">) for treating mucopolysaccharidosis type I. Cochrane Database of Systematic Reviews 2016, Issue 4. </w:t>
      </w:r>
      <w:r w:rsidRPr="009C4901">
        <w:rPr>
          <w:rFonts w:ascii="Source Sans Pro" w:eastAsia="Times New Roman" w:hAnsi="Source Sans Pro" w:cs="Times New Roman"/>
          <w:color w:val="000000"/>
          <w:sz w:val="24"/>
          <w:szCs w:val="24"/>
          <w:shd w:val="clear" w:color="auto" w:fill="F0EFEF"/>
          <w:lang w:eastAsia="es-ES_tradnl"/>
        </w:rPr>
        <w:t>Art. No.: CD009354.</w:t>
      </w:r>
    </w:p>
    <w:p w14:paraId="52AA1CEC" w14:textId="77777777" w:rsidR="0038086F" w:rsidRDefault="0038086F" w:rsidP="0038086F">
      <w:pPr>
        <w:pStyle w:val="Textocomentario"/>
        <w:rPr>
          <w:lang w:val="en-US"/>
        </w:rPr>
      </w:pPr>
    </w:p>
    <w:p w14:paraId="632464C5" w14:textId="77777777" w:rsidR="0038086F" w:rsidRPr="004E1FE7" w:rsidRDefault="00D674DF" w:rsidP="0038086F">
      <w:pPr>
        <w:pStyle w:val="Ttulo1"/>
        <w:spacing w:before="0" w:beforeAutospacing="0" w:after="0" w:afterAutospacing="0"/>
        <w:rPr>
          <w:rFonts w:ascii="Arial" w:hAnsi="Arial" w:cs="Arial"/>
          <w:color w:val="000000"/>
          <w:sz w:val="27"/>
          <w:szCs w:val="27"/>
          <w:lang w:val="en-US"/>
        </w:rPr>
      </w:pPr>
      <w:hyperlink r:id="rId3" w:history="1">
        <w:r w:rsidR="0038086F" w:rsidRPr="004E1FE7">
          <w:rPr>
            <w:rStyle w:val="Hipervnculo"/>
            <w:rFonts w:ascii="Arial" w:hAnsi="Arial" w:cs="Arial"/>
            <w:b/>
            <w:bCs/>
            <w:color w:val="642A8F"/>
            <w:sz w:val="27"/>
            <w:szCs w:val="27"/>
            <w:lang w:val="en-US"/>
          </w:rPr>
          <w:t>Surgical</w:t>
        </w:r>
        <w:r w:rsidR="0038086F" w:rsidRPr="004E1FE7">
          <w:rPr>
            <w:rStyle w:val="apple-converted-space"/>
            <w:rFonts w:ascii="Arial" w:hAnsi="Arial" w:cs="Arial"/>
            <w:color w:val="642A8F"/>
            <w:sz w:val="27"/>
            <w:szCs w:val="27"/>
            <w:u w:val="single"/>
            <w:lang w:val="en-US"/>
          </w:rPr>
          <w:t> </w:t>
        </w:r>
        <w:r w:rsidR="0038086F" w:rsidRPr="004E1FE7">
          <w:rPr>
            <w:rStyle w:val="Hipervnculo"/>
            <w:rFonts w:ascii="Arial" w:hAnsi="Arial" w:cs="Arial"/>
            <w:color w:val="642A8F"/>
            <w:sz w:val="27"/>
            <w:szCs w:val="27"/>
            <w:lang w:val="en-US"/>
          </w:rPr>
          <w:t>technique and outcomes for bilateral humeral lengthening for achondroplasia: 26-year experience.</w:t>
        </w:r>
      </w:hyperlink>
    </w:p>
    <w:p w14:paraId="063ACE02" w14:textId="77777777" w:rsidR="0038086F" w:rsidRDefault="0038086F" w:rsidP="0038086F">
      <w:pPr>
        <w:pStyle w:val="desc"/>
        <w:spacing w:before="0" w:beforeAutospacing="0" w:after="0" w:afterAutospacing="0"/>
        <w:rPr>
          <w:rFonts w:ascii="Arial" w:hAnsi="Arial" w:cs="Arial"/>
          <w:color w:val="000000"/>
          <w:sz w:val="22"/>
          <w:szCs w:val="22"/>
        </w:rPr>
      </w:pPr>
      <w:r>
        <w:rPr>
          <w:rFonts w:ascii="Arial" w:hAnsi="Arial" w:cs="Arial"/>
          <w:color w:val="000000"/>
          <w:sz w:val="22"/>
          <w:szCs w:val="22"/>
        </w:rPr>
        <w:t>Ginebreda I, Campillo-Recio D, Cárdenas C, Tapiolas J, Rovira P, Isart A.</w:t>
      </w:r>
    </w:p>
    <w:p w14:paraId="18FDE08C" w14:textId="77777777" w:rsidR="0038086F" w:rsidRDefault="0038086F" w:rsidP="0038086F">
      <w:pPr>
        <w:pStyle w:val="details"/>
        <w:spacing w:before="0" w:beforeAutospacing="0" w:after="0" w:afterAutospacing="0"/>
        <w:rPr>
          <w:rFonts w:ascii="Arial" w:hAnsi="Arial" w:cs="Arial"/>
          <w:color w:val="000000"/>
          <w:sz w:val="18"/>
          <w:szCs w:val="18"/>
        </w:rPr>
      </w:pPr>
      <w:r>
        <w:rPr>
          <w:rStyle w:val="jrnl"/>
          <w:rFonts w:ascii="Arial" w:hAnsi="Arial" w:cs="Arial"/>
          <w:color w:val="000000"/>
        </w:rPr>
        <w:t>Musculoskelet Surg</w:t>
      </w:r>
      <w:r>
        <w:rPr>
          <w:rFonts w:ascii="Arial" w:hAnsi="Arial" w:cs="Arial"/>
          <w:color w:val="000000"/>
          <w:sz w:val="18"/>
          <w:szCs w:val="18"/>
        </w:rPr>
        <w:t>. 2018 Dec 10.</w:t>
      </w:r>
    </w:p>
    <w:p w14:paraId="5E9C08B7" w14:textId="77777777" w:rsidR="0038086F" w:rsidRPr="005C1094" w:rsidRDefault="0038086F" w:rsidP="0038086F">
      <w:pPr>
        <w:pStyle w:val="Textocomentario"/>
        <w:rPr>
          <w:lang w:val="en-US"/>
        </w:rPr>
      </w:pPr>
    </w:p>
    <w:p w14:paraId="2307349E" w14:textId="77777777" w:rsidR="0038086F" w:rsidRPr="005C1094" w:rsidRDefault="0038086F" w:rsidP="0038086F">
      <w:pPr>
        <w:pStyle w:val="Textocomentario"/>
        <w:rPr>
          <w:lang w:val="en-US"/>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499B34" w15:done="0"/>
  <w15:commentEx w15:paraId="0F86BBF8" w15:done="0"/>
  <w15:commentEx w15:paraId="11E88313" w15:done="0"/>
  <w15:commentEx w15:paraId="35A67CB4" w15:done="0"/>
  <w15:commentEx w15:paraId="6BA03067" w15:done="0"/>
  <w15:commentEx w15:paraId="3E9945FF" w15:done="0"/>
  <w15:commentEx w15:paraId="5865AD3C" w15:done="0"/>
  <w15:commentEx w15:paraId="4FB3C278" w15:done="0"/>
  <w15:commentEx w15:paraId="5A2383EE" w15:done="0"/>
  <w15:commentEx w15:paraId="230734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20B0503030403020204"/>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1D6D"/>
    <w:multiLevelType w:val="hybridMultilevel"/>
    <w:tmpl w:val="496E5C8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1D25C0"/>
    <w:multiLevelType w:val="hybridMultilevel"/>
    <w:tmpl w:val="DFB829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E395DEA"/>
    <w:multiLevelType w:val="hybridMultilevel"/>
    <w:tmpl w:val="E8CA45B6"/>
    <w:lvl w:ilvl="0" w:tplc="63D08A02">
      <w:start w:val="2"/>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217628"/>
    <w:multiLevelType w:val="hybridMultilevel"/>
    <w:tmpl w:val="427A94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EB429E2"/>
    <w:multiLevelType w:val="hybridMultilevel"/>
    <w:tmpl w:val="07A221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8010AF1"/>
    <w:multiLevelType w:val="hybridMultilevel"/>
    <w:tmpl w:val="CAC69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646D634C"/>
    <w:multiLevelType w:val="hybridMultilevel"/>
    <w:tmpl w:val="4F8646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64F0070B"/>
    <w:multiLevelType w:val="hybridMultilevel"/>
    <w:tmpl w:val="C0CCEB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48859CE"/>
    <w:multiLevelType w:val="hybridMultilevel"/>
    <w:tmpl w:val="EA9629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C8"/>
    <w:rsid w:val="0000357C"/>
    <w:rsid w:val="000051F6"/>
    <w:rsid w:val="000223B8"/>
    <w:rsid w:val="00032D1C"/>
    <w:rsid w:val="00040384"/>
    <w:rsid w:val="0004665C"/>
    <w:rsid w:val="000511BF"/>
    <w:rsid w:val="00061D70"/>
    <w:rsid w:val="00070FED"/>
    <w:rsid w:val="00075EC1"/>
    <w:rsid w:val="0008424D"/>
    <w:rsid w:val="000937FD"/>
    <w:rsid w:val="000B40DE"/>
    <w:rsid w:val="000C00BD"/>
    <w:rsid w:val="000C48E5"/>
    <w:rsid w:val="000E2AE5"/>
    <w:rsid w:val="001102CD"/>
    <w:rsid w:val="0011214D"/>
    <w:rsid w:val="001137EB"/>
    <w:rsid w:val="0012239E"/>
    <w:rsid w:val="0012594A"/>
    <w:rsid w:val="00127E0E"/>
    <w:rsid w:val="00132F33"/>
    <w:rsid w:val="00143FB9"/>
    <w:rsid w:val="00144570"/>
    <w:rsid w:val="00146E00"/>
    <w:rsid w:val="00153984"/>
    <w:rsid w:val="00170E22"/>
    <w:rsid w:val="00186C4B"/>
    <w:rsid w:val="00193811"/>
    <w:rsid w:val="001A18A2"/>
    <w:rsid w:val="001A7CA3"/>
    <w:rsid w:val="001B5CAD"/>
    <w:rsid w:val="001C05DC"/>
    <w:rsid w:val="001C4398"/>
    <w:rsid w:val="001C6171"/>
    <w:rsid w:val="001D463C"/>
    <w:rsid w:val="001F0870"/>
    <w:rsid w:val="001F0965"/>
    <w:rsid w:val="0021393C"/>
    <w:rsid w:val="0023198D"/>
    <w:rsid w:val="0023745E"/>
    <w:rsid w:val="00247ED8"/>
    <w:rsid w:val="00261561"/>
    <w:rsid w:val="00265B2B"/>
    <w:rsid w:val="00270993"/>
    <w:rsid w:val="002968BA"/>
    <w:rsid w:val="002A4924"/>
    <w:rsid w:val="002A5999"/>
    <w:rsid w:val="002B3F3F"/>
    <w:rsid w:val="002B7845"/>
    <w:rsid w:val="002C2FE4"/>
    <w:rsid w:val="002E1625"/>
    <w:rsid w:val="002E18CA"/>
    <w:rsid w:val="002E4167"/>
    <w:rsid w:val="00305AD4"/>
    <w:rsid w:val="00317CDF"/>
    <w:rsid w:val="0032652A"/>
    <w:rsid w:val="0033222F"/>
    <w:rsid w:val="00341F24"/>
    <w:rsid w:val="00344445"/>
    <w:rsid w:val="003460CF"/>
    <w:rsid w:val="00365DE9"/>
    <w:rsid w:val="0038086F"/>
    <w:rsid w:val="0038296D"/>
    <w:rsid w:val="003930BB"/>
    <w:rsid w:val="003966CD"/>
    <w:rsid w:val="003972F4"/>
    <w:rsid w:val="003B6C5D"/>
    <w:rsid w:val="003C103D"/>
    <w:rsid w:val="003C171F"/>
    <w:rsid w:val="003C2D38"/>
    <w:rsid w:val="003C6A99"/>
    <w:rsid w:val="003C7256"/>
    <w:rsid w:val="003D4903"/>
    <w:rsid w:val="003E6DD8"/>
    <w:rsid w:val="003F0984"/>
    <w:rsid w:val="003F4861"/>
    <w:rsid w:val="003F6D0C"/>
    <w:rsid w:val="00403748"/>
    <w:rsid w:val="00415109"/>
    <w:rsid w:val="004304B1"/>
    <w:rsid w:val="0043298B"/>
    <w:rsid w:val="0043319F"/>
    <w:rsid w:val="00441BA2"/>
    <w:rsid w:val="00452CD0"/>
    <w:rsid w:val="004545EA"/>
    <w:rsid w:val="0045630E"/>
    <w:rsid w:val="0045727E"/>
    <w:rsid w:val="004640D3"/>
    <w:rsid w:val="004650CF"/>
    <w:rsid w:val="00465F74"/>
    <w:rsid w:val="00474F16"/>
    <w:rsid w:val="004772DA"/>
    <w:rsid w:val="00491237"/>
    <w:rsid w:val="00495AA9"/>
    <w:rsid w:val="004A7EA9"/>
    <w:rsid w:val="004C2CA0"/>
    <w:rsid w:val="004C3DEE"/>
    <w:rsid w:val="004D2057"/>
    <w:rsid w:val="004D2B48"/>
    <w:rsid w:val="004E4515"/>
    <w:rsid w:val="004E68A2"/>
    <w:rsid w:val="0050039F"/>
    <w:rsid w:val="00500E7C"/>
    <w:rsid w:val="00502ECC"/>
    <w:rsid w:val="00515527"/>
    <w:rsid w:val="00516613"/>
    <w:rsid w:val="00520EEF"/>
    <w:rsid w:val="005269A2"/>
    <w:rsid w:val="005302D0"/>
    <w:rsid w:val="0053309B"/>
    <w:rsid w:val="005365C3"/>
    <w:rsid w:val="00537B06"/>
    <w:rsid w:val="00547903"/>
    <w:rsid w:val="00551014"/>
    <w:rsid w:val="00552BF3"/>
    <w:rsid w:val="00565636"/>
    <w:rsid w:val="00567D0A"/>
    <w:rsid w:val="00595037"/>
    <w:rsid w:val="00597BE5"/>
    <w:rsid w:val="005A0464"/>
    <w:rsid w:val="005A086F"/>
    <w:rsid w:val="005A44F3"/>
    <w:rsid w:val="005B0C81"/>
    <w:rsid w:val="005B217A"/>
    <w:rsid w:val="005B26D3"/>
    <w:rsid w:val="005C37AA"/>
    <w:rsid w:val="005C601C"/>
    <w:rsid w:val="005D6286"/>
    <w:rsid w:val="005F2FD6"/>
    <w:rsid w:val="005F64A5"/>
    <w:rsid w:val="00601215"/>
    <w:rsid w:val="0060527A"/>
    <w:rsid w:val="00611070"/>
    <w:rsid w:val="00617631"/>
    <w:rsid w:val="006223D5"/>
    <w:rsid w:val="00625720"/>
    <w:rsid w:val="00626C48"/>
    <w:rsid w:val="006470BB"/>
    <w:rsid w:val="006527F0"/>
    <w:rsid w:val="006660BA"/>
    <w:rsid w:val="00681A50"/>
    <w:rsid w:val="006834CB"/>
    <w:rsid w:val="006838F1"/>
    <w:rsid w:val="006861E2"/>
    <w:rsid w:val="0069295A"/>
    <w:rsid w:val="006A70E2"/>
    <w:rsid w:val="006B59BD"/>
    <w:rsid w:val="006B67EC"/>
    <w:rsid w:val="006B7F93"/>
    <w:rsid w:val="006C141B"/>
    <w:rsid w:val="006E0326"/>
    <w:rsid w:val="006E486E"/>
    <w:rsid w:val="006E59F4"/>
    <w:rsid w:val="006F3BA9"/>
    <w:rsid w:val="006F434F"/>
    <w:rsid w:val="00701A82"/>
    <w:rsid w:val="00701B28"/>
    <w:rsid w:val="007069D8"/>
    <w:rsid w:val="0071314A"/>
    <w:rsid w:val="00713366"/>
    <w:rsid w:val="00716A58"/>
    <w:rsid w:val="00717C4A"/>
    <w:rsid w:val="0072149D"/>
    <w:rsid w:val="00723152"/>
    <w:rsid w:val="00730D6F"/>
    <w:rsid w:val="00762A44"/>
    <w:rsid w:val="00765404"/>
    <w:rsid w:val="00772CC8"/>
    <w:rsid w:val="007815AC"/>
    <w:rsid w:val="007817E6"/>
    <w:rsid w:val="00782FA7"/>
    <w:rsid w:val="007850E1"/>
    <w:rsid w:val="007A4504"/>
    <w:rsid w:val="007B1C7A"/>
    <w:rsid w:val="007E6CDC"/>
    <w:rsid w:val="008104C7"/>
    <w:rsid w:val="00812D31"/>
    <w:rsid w:val="00832B04"/>
    <w:rsid w:val="00836D45"/>
    <w:rsid w:val="00846A83"/>
    <w:rsid w:val="00851921"/>
    <w:rsid w:val="00853E70"/>
    <w:rsid w:val="008644AB"/>
    <w:rsid w:val="00864ABD"/>
    <w:rsid w:val="00870681"/>
    <w:rsid w:val="00880C75"/>
    <w:rsid w:val="008829A2"/>
    <w:rsid w:val="008864F3"/>
    <w:rsid w:val="00891252"/>
    <w:rsid w:val="00892A10"/>
    <w:rsid w:val="008A4984"/>
    <w:rsid w:val="008A5354"/>
    <w:rsid w:val="008A7C95"/>
    <w:rsid w:val="008B75C7"/>
    <w:rsid w:val="008C7AC6"/>
    <w:rsid w:val="008D33B4"/>
    <w:rsid w:val="008D7411"/>
    <w:rsid w:val="008E0351"/>
    <w:rsid w:val="008E17BF"/>
    <w:rsid w:val="008E4861"/>
    <w:rsid w:val="008E496E"/>
    <w:rsid w:val="008F2A42"/>
    <w:rsid w:val="00915CFC"/>
    <w:rsid w:val="0093039B"/>
    <w:rsid w:val="00930B62"/>
    <w:rsid w:val="00934AFD"/>
    <w:rsid w:val="00936CBB"/>
    <w:rsid w:val="009421FE"/>
    <w:rsid w:val="00943ED2"/>
    <w:rsid w:val="00947FCF"/>
    <w:rsid w:val="00972035"/>
    <w:rsid w:val="00974BB9"/>
    <w:rsid w:val="00984A6C"/>
    <w:rsid w:val="0098611E"/>
    <w:rsid w:val="00996FC3"/>
    <w:rsid w:val="009A0607"/>
    <w:rsid w:val="009A07FE"/>
    <w:rsid w:val="009A21F9"/>
    <w:rsid w:val="009A31D5"/>
    <w:rsid w:val="009B17B3"/>
    <w:rsid w:val="009B4C62"/>
    <w:rsid w:val="009C1393"/>
    <w:rsid w:val="009C3C1C"/>
    <w:rsid w:val="009D168A"/>
    <w:rsid w:val="009D3B02"/>
    <w:rsid w:val="009E2D55"/>
    <w:rsid w:val="009E3086"/>
    <w:rsid w:val="009F0B8F"/>
    <w:rsid w:val="009F19DA"/>
    <w:rsid w:val="009F795B"/>
    <w:rsid w:val="00A11568"/>
    <w:rsid w:val="00A22F53"/>
    <w:rsid w:val="00A232C1"/>
    <w:rsid w:val="00A31377"/>
    <w:rsid w:val="00A36E95"/>
    <w:rsid w:val="00A4681F"/>
    <w:rsid w:val="00A52EB6"/>
    <w:rsid w:val="00A57CB3"/>
    <w:rsid w:val="00A65B01"/>
    <w:rsid w:val="00A82B83"/>
    <w:rsid w:val="00A851CD"/>
    <w:rsid w:val="00A904A0"/>
    <w:rsid w:val="00AA0E00"/>
    <w:rsid w:val="00AB5149"/>
    <w:rsid w:val="00AE268F"/>
    <w:rsid w:val="00AE2712"/>
    <w:rsid w:val="00B00250"/>
    <w:rsid w:val="00B1312A"/>
    <w:rsid w:val="00B136D8"/>
    <w:rsid w:val="00B24645"/>
    <w:rsid w:val="00B4393D"/>
    <w:rsid w:val="00B50B8C"/>
    <w:rsid w:val="00B563CC"/>
    <w:rsid w:val="00B62EDC"/>
    <w:rsid w:val="00B66CAD"/>
    <w:rsid w:val="00B8007B"/>
    <w:rsid w:val="00B83398"/>
    <w:rsid w:val="00B930B6"/>
    <w:rsid w:val="00BA5702"/>
    <w:rsid w:val="00BA778C"/>
    <w:rsid w:val="00BA7DAF"/>
    <w:rsid w:val="00BB18D9"/>
    <w:rsid w:val="00BB2778"/>
    <w:rsid w:val="00BB411A"/>
    <w:rsid w:val="00BD55A0"/>
    <w:rsid w:val="00BE04BC"/>
    <w:rsid w:val="00BE3349"/>
    <w:rsid w:val="00C05709"/>
    <w:rsid w:val="00C11992"/>
    <w:rsid w:val="00C146A0"/>
    <w:rsid w:val="00C20552"/>
    <w:rsid w:val="00C308DC"/>
    <w:rsid w:val="00C3326A"/>
    <w:rsid w:val="00C37DD6"/>
    <w:rsid w:val="00C42E5C"/>
    <w:rsid w:val="00C43D43"/>
    <w:rsid w:val="00C53A07"/>
    <w:rsid w:val="00C54EDD"/>
    <w:rsid w:val="00C644A5"/>
    <w:rsid w:val="00C67B54"/>
    <w:rsid w:val="00C8263A"/>
    <w:rsid w:val="00CA0E91"/>
    <w:rsid w:val="00CA57EA"/>
    <w:rsid w:val="00CA643D"/>
    <w:rsid w:val="00CA6695"/>
    <w:rsid w:val="00CA673E"/>
    <w:rsid w:val="00CA7071"/>
    <w:rsid w:val="00CC3382"/>
    <w:rsid w:val="00CC63C8"/>
    <w:rsid w:val="00CD0A24"/>
    <w:rsid w:val="00CE27D0"/>
    <w:rsid w:val="00CE6956"/>
    <w:rsid w:val="00D10D00"/>
    <w:rsid w:val="00D16484"/>
    <w:rsid w:val="00D235AA"/>
    <w:rsid w:val="00D50551"/>
    <w:rsid w:val="00D50FAC"/>
    <w:rsid w:val="00D6205A"/>
    <w:rsid w:val="00D6731B"/>
    <w:rsid w:val="00D674DF"/>
    <w:rsid w:val="00D825CF"/>
    <w:rsid w:val="00DA5436"/>
    <w:rsid w:val="00DA6E1A"/>
    <w:rsid w:val="00DB29CA"/>
    <w:rsid w:val="00DC06A2"/>
    <w:rsid w:val="00DC5465"/>
    <w:rsid w:val="00DD1671"/>
    <w:rsid w:val="00DE3449"/>
    <w:rsid w:val="00E01122"/>
    <w:rsid w:val="00E06C50"/>
    <w:rsid w:val="00E072AF"/>
    <w:rsid w:val="00E12805"/>
    <w:rsid w:val="00E21CCE"/>
    <w:rsid w:val="00E22978"/>
    <w:rsid w:val="00E33028"/>
    <w:rsid w:val="00E338D6"/>
    <w:rsid w:val="00E44EB6"/>
    <w:rsid w:val="00E6057C"/>
    <w:rsid w:val="00E70EE9"/>
    <w:rsid w:val="00E72322"/>
    <w:rsid w:val="00E748BE"/>
    <w:rsid w:val="00E76774"/>
    <w:rsid w:val="00E806A5"/>
    <w:rsid w:val="00E81103"/>
    <w:rsid w:val="00E85212"/>
    <w:rsid w:val="00E86F2A"/>
    <w:rsid w:val="00E9267A"/>
    <w:rsid w:val="00E937CB"/>
    <w:rsid w:val="00EB66C2"/>
    <w:rsid w:val="00EC445A"/>
    <w:rsid w:val="00ED697B"/>
    <w:rsid w:val="00EE090A"/>
    <w:rsid w:val="00EF395E"/>
    <w:rsid w:val="00EF727A"/>
    <w:rsid w:val="00F02827"/>
    <w:rsid w:val="00F07217"/>
    <w:rsid w:val="00F07C7D"/>
    <w:rsid w:val="00F37C23"/>
    <w:rsid w:val="00F413E8"/>
    <w:rsid w:val="00F54AA6"/>
    <w:rsid w:val="00F640FE"/>
    <w:rsid w:val="00F752AE"/>
    <w:rsid w:val="00F772B6"/>
    <w:rsid w:val="00F776EB"/>
    <w:rsid w:val="00F81A95"/>
    <w:rsid w:val="00F92EC4"/>
    <w:rsid w:val="00FB6A4B"/>
    <w:rsid w:val="00FD3074"/>
    <w:rsid w:val="00FE31B7"/>
    <w:rsid w:val="00FE444E"/>
    <w:rsid w:val="00FE524E"/>
    <w:rsid w:val="00FE731E"/>
    <w:rsid w:val="00FF4C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843C"/>
  <w15:docId w15:val="{0AC74B46-BF99-466D-BC44-483FCB88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645"/>
    <w:pPr>
      <w:ind w:left="720"/>
      <w:contextualSpacing/>
    </w:pPr>
  </w:style>
  <w:style w:type="character" w:styleId="Refdecomentario">
    <w:name w:val="annotation reference"/>
    <w:basedOn w:val="Fuentedeprrafopredeter"/>
    <w:uiPriority w:val="99"/>
    <w:semiHidden/>
    <w:unhideWhenUsed/>
    <w:rsid w:val="00A851CD"/>
    <w:rPr>
      <w:sz w:val="16"/>
      <w:szCs w:val="16"/>
    </w:rPr>
  </w:style>
  <w:style w:type="paragraph" w:styleId="Textocomentario">
    <w:name w:val="annotation text"/>
    <w:basedOn w:val="Normal"/>
    <w:link w:val="TextocomentarioCar"/>
    <w:uiPriority w:val="99"/>
    <w:unhideWhenUsed/>
    <w:rsid w:val="00A851CD"/>
    <w:pPr>
      <w:spacing w:line="240" w:lineRule="auto"/>
    </w:pPr>
    <w:rPr>
      <w:sz w:val="20"/>
      <w:szCs w:val="20"/>
    </w:rPr>
  </w:style>
  <w:style w:type="character" w:customStyle="1" w:styleId="TextocomentarioCar">
    <w:name w:val="Texto comentario Car"/>
    <w:basedOn w:val="Fuentedeprrafopredeter"/>
    <w:link w:val="Textocomentario"/>
    <w:uiPriority w:val="99"/>
    <w:rsid w:val="00A851CD"/>
    <w:rPr>
      <w:sz w:val="20"/>
      <w:szCs w:val="20"/>
    </w:rPr>
  </w:style>
  <w:style w:type="paragraph" w:styleId="NormalWeb">
    <w:name w:val="Normal (Web)"/>
    <w:basedOn w:val="Normal"/>
    <w:uiPriority w:val="99"/>
    <w:semiHidden/>
    <w:unhideWhenUsed/>
    <w:rsid w:val="00A851C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A851CD"/>
    <w:rPr>
      <w:color w:val="0563C1" w:themeColor="hyperlink"/>
      <w:u w:val="single"/>
    </w:rPr>
  </w:style>
  <w:style w:type="paragraph" w:styleId="Textodeglobo">
    <w:name w:val="Balloon Text"/>
    <w:basedOn w:val="Normal"/>
    <w:link w:val="TextodegloboCar"/>
    <w:uiPriority w:val="99"/>
    <w:semiHidden/>
    <w:unhideWhenUsed/>
    <w:rsid w:val="00A85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51CD"/>
    <w:rPr>
      <w:rFonts w:ascii="Tahoma" w:hAnsi="Tahoma" w:cs="Tahoma"/>
      <w:sz w:val="16"/>
      <w:szCs w:val="16"/>
    </w:rPr>
  </w:style>
  <w:style w:type="character" w:customStyle="1" w:styleId="apple-converted-space">
    <w:name w:val="apple-converted-space"/>
    <w:basedOn w:val="Fuentedeprrafopredeter"/>
    <w:rsid w:val="00A65B01"/>
  </w:style>
  <w:style w:type="character" w:customStyle="1" w:styleId="jrnl">
    <w:name w:val="jrnl"/>
    <w:basedOn w:val="Fuentedeprrafopredeter"/>
    <w:rsid w:val="00A65B01"/>
  </w:style>
  <w:style w:type="paragraph" w:customStyle="1" w:styleId="Ttulo1">
    <w:name w:val="Título1"/>
    <w:basedOn w:val="Normal"/>
    <w:rsid w:val="0038086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desc">
    <w:name w:val="desc"/>
    <w:basedOn w:val="Normal"/>
    <w:rsid w:val="0038086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details">
    <w:name w:val="details"/>
    <w:basedOn w:val="Normal"/>
    <w:rsid w:val="0038086F"/>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1039">
      <w:bodyDiv w:val="1"/>
      <w:marLeft w:val="0"/>
      <w:marRight w:val="0"/>
      <w:marTop w:val="0"/>
      <w:marBottom w:val="0"/>
      <w:divBdr>
        <w:top w:val="none" w:sz="0" w:space="0" w:color="auto"/>
        <w:left w:val="none" w:sz="0" w:space="0" w:color="auto"/>
        <w:bottom w:val="none" w:sz="0" w:space="0" w:color="auto"/>
        <w:right w:val="none" w:sz="0" w:space="0" w:color="auto"/>
      </w:divBdr>
    </w:div>
    <w:div w:id="309406876">
      <w:bodyDiv w:val="1"/>
      <w:marLeft w:val="0"/>
      <w:marRight w:val="0"/>
      <w:marTop w:val="0"/>
      <w:marBottom w:val="0"/>
      <w:divBdr>
        <w:top w:val="none" w:sz="0" w:space="0" w:color="auto"/>
        <w:left w:val="none" w:sz="0" w:space="0" w:color="auto"/>
        <w:bottom w:val="none" w:sz="0" w:space="0" w:color="auto"/>
        <w:right w:val="none" w:sz="0" w:space="0" w:color="auto"/>
      </w:divBdr>
    </w:div>
    <w:div w:id="729890180">
      <w:bodyDiv w:val="1"/>
      <w:marLeft w:val="0"/>
      <w:marRight w:val="0"/>
      <w:marTop w:val="0"/>
      <w:marBottom w:val="0"/>
      <w:divBdr>
        <w:top w:val="none" w:sz="0" w:space="0" w:color="auto"/>
        <w:left w:val="none" w:sz="0" w:space="0" w:color="auto"/>
        <w:bottom w:val="none" w:sz="0" w:space="0" w:color="auto"/>
        <w:right w:val="none" w:sz="0" w:space="0" w:color="auto"/>
      </w:divBdr>
      <w:divsChild>
        <w:div w:id="628054998">
          <w:marLeft w:val="0"/>
          <w:marRight w:val="0"/>
          <w:marTop w:val="0"/>
          <w:marBottom w:val="0"/>
          <w:divBdr>
            <w:top w:val="none" w:sz="0" w:space="0" w:color="auto"/>
            <w:left w:val="none" w:sz="0" w:space="0" w:color="auto"/>
            <w:bottom w:val="none" w:sz="0" w:space="0" w:color="auto"/>
            <w:right w:val="none" w:sz="0" w:space="0" w:color="auto"/>
          </w:divBdr>
        </w:div>
        <w:div w:id="1196382216">
          <w:marLeft w:val="0"/>
          <w:marRight w:val="0"/>
          <w:marTop w:val="0"/>
          <w:marBottom w:val="0"/>
          <w:divBdr>
            <w:top w:val="none" w:sz="0" w:space="0" w:color="auto"/>
            <w:left w:val="none" w:sz="0" w:space="0" w:color="auto"/>
            <w:bottom w:val="none" w:sz="0" w:space="0" w:color="auto"/>
            <w:right w:val="none" w:sz="0" w:space="0" w:color="auto"/>
          </w:divBdr>
        </w:div>
        <w:div w:id="1512329950">
          <w:marLeft w:val="0"/>
          <w:marRight w:val="0"/>
          <w:marTop w:val="0"/>
          <w:marBottom w:val="0"/>
          <w:divBdr>
            <w:top w:val="none" w:sz="0" w:space="0" w:color="auto"/>
            <w:left w:val="none" w:sz="0" w:space="0" w:color="auto"/>
            <w:bottom w:val="none" w:sz="0" w:space="0" w:color="auto"/>
            <w:right w:val="none" w:sz="0" w:space="0" w:color="auto"/>
          </w:divBdr>
        </w:div>
      </w:divsChild>
    </w:div>
    <w:div w:id="855078432">
      <w:bodyDiv w:val="1"/>
      <w:marLeft w:val="0"/>
      <w:marRight w:val="0"/>
      <w:marTop w:val="0"/>
      <w:marBottom w:val="0"/>
      <w:divBdr>
        <w:top w:val="none" w:sz="0" w:space="0" w:color="auto"/>
        <w:left w:val="none" w:sz="0" w:space="0" w:color="auto"/>
        <w:bottom w:val="none" w:sz="0" w:space="0" w:color="auto"/>
        <w:right w:val="none" w:sz="0" w:space="0" w:color="auto"/>
      </w:divBdr>
    </w:div>
    <w:div w:id="895432200">
      <w:bodyDiv w:val="1"/>
      <w:marLeft w:val="0"/>
      <w:marRight w:val="0"/>
      <w:marTop w:val="0"/>
      <w:marBottom w:val="0"/>
      <w:divBdr>
        <w:top w:val="none" w:sz="0" w:space="0" w:color="auto"/>
        <w:left w:val="none" w:sz="0" w:space="0" w:color="auto"/>
        <w:bottom w:val="none" w:sz="0" w:space="0" w:color="auto"/>
        <w:right w:val="none" w:sz="0" w:space="0" w:color="auto"/>
      </w:divBdr>
    </w:div>
    <w:div w:id="1461458287">
      <w:bodyDiv w:val="1"/>
      <w:marLeft w:val="0"/>
      <w:marRight w:val="0"/>
      <w:marTop w:val="0"/>
      <w:marBottom w:val="0"/>
      <w:divBdr>
        <w:top w:val="none" w:sz="0" w:space="0" w:color="auto"/>
        <w:left w:val="none" w:sz="0" w:space="0" w:color="auto"/>
        <w:bottom w:val="none" w:sz="0" w:space="0" w:color="auto"/>
        <w:right w:val="none" w:sz="0" w:space="0" w:color="auto"/>
      </w:divBdr>
    </w:div>
    <w:div w:id="1721519149">
      <w:bodyDiv w:val="1"/>
      <w:marLeft w:val="0"/>
      <w:marRight w:val="0"/>
      <w:marTop w:val="0"/>
      <w:marBottom w:val="0"/>
      <w:divBdr>
        <w:top w:val="none" w:sz="0" w:space="0" w:color="auto"/>
        <w:left w:val="none" w:sz="0" w:space="0" w:color="auto"/>
        <w:bottom w:val="none" w:sz="0" w:space="0" w:color="auto"/>
        <w:right w:val="none" w:sz="0" w:space="0" w:color="auto"/>
      </w:divBdr>
    </w:div>
    <w:div w:id="1930234263">
      <w:bodyDiv w:val="1"/>
      <w:marLeft w:val="0"/>
      <w:marRight w:val="0"/>
      <w:marTop w:val="0"/>
      <w:marBottom w:val="0"/>
      <w:divBdr>
        <w:top w:val="none" w:sz="0" w:space="0" w:color="auto"/>
        <w:left w:val="none" w:sz="0" w:space="0" w:color="auto"/>
        <w:bottom w:val="none" w:sz="0" w:space="0" w:color="auto"/>
        <w:right w:val="none" w:sz="0" w:space="0" w:color="auto"/>
      </w:divBdr>
      <w:divsChild>
        <w:div w:id="1717510615">
          <w:marLeft w:val="0"/>
          <w:marRight w:val="0"/>
          <w:marTop w:val="0"/>
          <w:marBottom w:val="0"/>
          <w:divBdr>
            <w:top w:val="none" w:sz="0" w:space="0" w:color="auto"/>
            <w:left w:val="none" w:sz="0" w:space="0" w:color="auto"/>
            <w:bottom w:val="none" w:sz="0" w:space="0" w:color="auto"/>
            <w:right w:val="none" w:sz="0" w:space="0" w:color="auto"/>
          </w:divBdr>
        </w:div>
        <w:div w:id="1421368086">
          <w:marLeft w:val="0"/>
          <w:marRight w:val="0"/>
          <w:marTop w:val="0"/>
          <w:marBottom w:val="0"/>
          <w:divBdr>
            <w:top w:val="none" w:sz="0" w:space="0" w:color="auto"/>
            <w:left w:val="none" w:sz="0" w:space="0" w:color="auto"/>
            <w:bottom w:val="none" w:sz="0" w:space="0" w:color="auto"/>
            <w:right w:val="none" w:sz="0" w:space="0" w:color="auto"/>
          </w:divBdr>
        </w:div>
      </w:divsChild>
    </w:div>
    <w:div w:id="2136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cbi.nlm.nih.gov/pubmed/30536224" TargetMode="External"/><Relationship Id="rId2" Type="http://schemas.openxmlformats.org/officeDocument/2006/relationships/hyperlink" Target="https://www.ncbi.nlm.nih.gov/pubmed/29844941" TargetMode="External"/><Relationship Id="rId1" Type="http://schemas.openxmlformats.org/officeDocument/2006/relationships/hyperlink" Target="https://www.ncbi.nlm.nih.gov/pubmed/30584990"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3414</Words>
  <Characters>18781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Clementina Venegas Serna</dc:creator>
  <cp:keywords/>
  <dc:description/>
  <cp:lastModifiedBy>Jefatura_ Prevencion</cp:lastModifiedBy>
  <cp:revision>2</cp:revision>
  <dcterms:created xsi:type="dcterms:W3CDTF">2019-06-04T20:40:00Z</dcterms:created>
  <dcterms:modified xsi:type="dcterms:W3CDTF">2019-06-04T20:40:00Z</dcterms:modified>
</cp:coreProperties>
</file>